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271ACD" w:rsidR="0055218B" w:rsidP="1BC776D3" w:rsidRDefault="00271ACD" w14:paraId="0ED0E953" w14:textId="758C38A0">
      <w:pPr>
        <w:jc w:val="center"/>
        <w:rPr>
          <w:rFonts w:cs="Calibri" w:cstheme="minorAscii"/>
          <w:b w:val="1"/>
          <w:bCs w:val="1"/>
        </w:rPr>
      </w:pPr>
      <w:r w:rsidRPr="000762F6">
        <w:rPr>
          <w:rFonts w:cstheme="minorHAnsi"/>
          <w:noProof/>
        </w:rPr>
        <w:drawing>
          <wp:anchor distT="0" distB="0" distL="114300" distR="114300" simplePos="0" relativeHeight="251658240" behindDoc="1" locked="0" layoutInCell="1" allowOverlap="1" wp14:anchorId="66721EA2" wp14:editId="05A513C1">
            <wp:simplePos x="0" y="0"/>
            <wp:positionH relativeFrom="page">
              <wp:posOffset>5585460</wp:posOffset>
            </wp:positionH>
            <wp:positionV relativeFrom="paragraph">
              <wp:posOffset>-868680</wp:posOffset>
            </wp:positionV>
            <wp:extent cx="2110156" cy="927870"/>
            <wp:effectExtent l="0" t="0" r="4445" b="571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0156" cy="92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9F05B42">
        <w:rPr>
          <w:rFonts w:cs="Calibri" w:cstheme="minorAscii"/>
          <w:b w:val="1"/>
          <w:bCs w:val="1"/>
          <w:sz w:val="28"/>
          <w:szCs w:val="28"/>
        </w:rPr>
        <w:t>T</w:t>
      </w:r>
      <w:r w:rsidRPr="69F05B42">
        <w:rPr>
          <w:rFonts w:cs="Calibri" w:cstheme="minorAscii"/>
          <w:b w:val="1"/>
          <w:bCs w:val="1"/>
          <w:sz w:val="28"/>
          <w:szCs w:val="28"/>
        </w:rPr>
        <w:t xml:space="preserve">he Fair Finance Guide Methodology </w:t>
      </w:r>
      <w:r w:rsidRPr="00271ACD">
        <w:rPr>
          <w:rFonts w:cstheme="minorHAnsi"/>
          <w:b/>
          <w:bCs/>
          <w:sz w:val="28"/>
          <w:szCs w:val="28"/>
        </w:rPr>
        <w:br/>
      </w:r>
      <w:r w:rsidRPr="69F05B42">
        <w:rPr>
          <w:rFonts w:cs="Calibri" w:cstheme="minorAscii"/>
          <w:sz w:val="24"/>
          <w:szCs w:val="24"/>
        </w:rPr>
        <w:t xml:space="preserve">Overview </w:t>
      </w:r>
      <w:r w:rsidRPr="2D32AF12" w:rsidR="2D32AF12">
        <w:rPr>
          <w:rFonts w:cs="Calibri" w:cstheme="minorAscii"/>
          <w:sz w:val="24"/>
          <w:szCs w:val="24"/>
        </w:rPr>
        <w:t xml:space="preserve">of the </w:t>
      </w:r>
      <w:r w:rsidRPr="2D32AF12" w:rsidR="2D32AF12">
        <w:rPr>
          <w:rFonts w:cs="Calibri" w:cstheme="minorAscii"/>
          <w:sz w:val="24"/>
          <w:szCs w:val="24"/>
        </w:rPr>
        <w:t xml:space="preserve">methodology and research </w:t>
      </w:r>
      <w:r w:rsidRPr="2D32AF12" w:rsidR="2D32AF12">
        <w:rPr>
          <w:rFonts w:cs="Calibri" w:cstheme="minorAscii"/>
          <w:sz w:val="24"/>
          <w:szCs w:val="24"/>
        </w:rPr>
        <w:t xml:space="preserve">process</w:t>
      </w:r>
    </w:p>
    <w:p w:rsidRPr="00271ACD" w:rsidR="0055218B" w:rsidP="74EBB715" w:rsidRDefault="00271ACD" w14:paraId="3DF1154F" w14:textId="6A3F027F">
      <w:pPr>
        <w:jc w:val="center"/>
        <w:rPr>
          <w:rFonts w:cs="Calibri" w:cstheme="minorAscii"/>
          <w:b w:val="1"/>
          <w:bCs w:val="1"/>
        </w:rPr>
      </w:pPr>
      <w:r w:rsidRPr="2D32AF12" w:rsidR="2D32AF12">
        <w:rPr>
          <w:rFonts w:cs="Calibri" w:cstheme="minorAscii"/>
          <w:sz w:val="24"/>
          <w:szCs w:val="24"/>
        </w:rPr>
        <w:t xml:space="preserve"> </w:t>
      </w:r>
      <w:r w:rsidRPr="74EBB715" w:rsidR="74EBB715">
        <w:rPr>
          <w:rFonts w:cs="Calibri" w:cstheme="minorAscii"/>
          <w:b w:val="1"/>
          <w:bCs w:val="1"/>
        </w:rPr>
        <w:t>Introduction</w:t>
      </w:r>
    </w:p>
    <w:p w:rsidRPr="000762F6" w:rsidR="00B73BB3" w:rsidP="20F30871" w:rsidRDefault="00AE4A48" w14:paraId="509ADCB9" w14:textId="7B9FFC6C">
      <w:pPr>
        <w:pStyle w:val="ListParagraph"/>
        <w:numPr>
          <w:ilvl w:val="0"/>
          <w:numId w:val="2"/>
        </w:numPr>
        <w:rPr>
          <w:rFonts w:cs="Calibri" w:cstheme="minorAscii"/>
        </w:rPr>
      </w:pPr>
      <w:r w:rsidRPr="4BD16793" w:rsidR="4BD16793">
        <w:rPr>
          <w:rFonts w:cs="Calibri" w:cstheme="minorAscii"/>
        </w:rPr>
        <w:t xml:space="preserve">The </w:t>
      </w:r>
      <w:hyperlink r:id="R0ba0660ed6e14535">
        <w:r w:rsidRPr="4BD16793" w:rsidR="4BD16793">
          <w:rPr>
            <w:rStyle w:val="Hyperlink"/>
            <w:rFonts w:cs="Calibri" w:cstheme="minorAscii"/>
          </w:rPr>
          <w:t xml:space="preserve">Fair Finance Guide </w:t>
        </w:r>
      </w:hyperlink>
      <w:r w:rsidRPr="4BD16793" w:rsidR="4BD16793">
        <w:rPr>
          <w:rStyle w:val="Hyperlink"/>
          <w:rFonts w:cs="Calibri" w:cstheme="minorAscii"/>
        </w:rPr>
        <w:t>Methodology</w:t>
      </w:r>
      <w:r w:rsidRPr="4BD16793" w:rsidR="4BD16793">
        <w:rPr>
          <w:rFonts w:cs="Calibri" w:cstheme="minorAscii"/>
        </w:rPr>
        <w:t xml:space="preserve"> (FFGM) is a comprehensive tool for assessing and comparing the Environmental, Social and Governance (ESG) policies of financial institutions. It is based on international sustainability standards and UN Conventions and is used as a tool to compare the sustainability and ESG policies of Financial Institutions (FIs).</w:t>
      </w:r>
      <w:r>
        <w:tab/>
      </w:r>
    </w:p>
    <w:p w:rsidRPr="000762F6" w:rsidR="009C0140" w:rsidP="636139E5" w:rsidRDefault="35781E33" w14:paraId="3C9197BE" w14:textId="1DFDCC83">
      <w:pPr>
        <w:pStyle w:val="ListParagraph"/>
        <w:numPr>
          <w:ilvl w:val="0"/>
          <w:numId w:val="2"/>
        </w:numPr>
        <w:rPr/>
      </w:pPr>
      <w:r w:rsidR="26670A1D">
        <w:rPr/>
        <w:t xml:space="preserve">Developed by our network of policy research experts, Profundo and other stakeholders, the methodology is used to assess </w:t>
      </w:r>
      <w:proofErr w:type="spellStart"/>
      <w:r w:rsidR="26670A1D">
        <w:rPr/>
        <w:t>FIs'</w:t>
      </w:r>
      <w:proofErr w:type="spellEnd"/>
      <w:r w:rsidR="26670A1D">
        <w:rPr/>
        <w:t xml:space="preserve"> approach to sustainability across up to 19 themes.</w:t>
      </w:r>
    </w:p>
    <w:p w:rsidRPr="000762F6" w:rsidR="00B5271E" w:rsidP="636139E5" w:rsidRDefault="35781E33" w14:paraId="0BC00B67" w14:textId="6BC9D1F3">
      <w:pPr>
        <w:pStyle w:val="ListParagraph"/>
        <w:numPr>
          <w:ilvl w:val="0"/>
          <w:numId w:val="2"/>
        </w:numPr>
        <w:rPr/>
      </w:pPr>
      <w:r w:rsidR="74EBB715">
        <w:rPr/>
        <w:t xml:space="preserve">The methodology is a tool for benchmarking </w:t>
      </w:r>
      <w:proofErr w:type="spellStart"/>
      <w:r w:rsidR="74EBB715">
        <w:rPr/>
        <w:t>FIs’</w:t>
      </w:r>
      <w:proofErr w:type="spellEnd"/>
      <w:r w:rsidR="74EBB715">
        <w:rPr/>
        <w:t xml:space="preserve"> ESG policies, tracking progress and helping to trigger a race to the top. The data also forms the basis for a constructive, evidence-based dialogue on more responsible and sustainable financial policies and practices. </w:t>
      </w:r>
    </w:p>
    <w:p w:rsidRPr="000762F6" w:rsidR="00360025" w:rsidP="00DD22D0" w:rsidRDefault="00AE4A48" w14:paraId="1912CEC2" w14:textId="5F3457A0">
      <w:pPr>
        <w:rPr>
          <w:rFonts w:cstheme="minorHAnsi"/>
        </w:rPr>
      </w:pPr>
      <w:r w:rsidRPr="000762F6">
        <w:rPr>
          <w:rFonts w:cstheme="minorHAnsi"/>
          <w:b/>
          <w:bCs/>
        </w:rPr>
        <w:t>Content</w:t>
      </w:r>
      <w:r w:rsidRPr="000762F6" w:rsidR="00B5271E">
        <w:rPr>
          <w:rFonts w:cstheme="minorHAnsi"/>
          <w:b/>
          <w:bCs/>
        </w:rPr>
        <w:t xml:space="preserve"> of the FFGM</w:t>
      </w:r>
    </w:p>
    <w:p w:rsidRPr="000762F6" w:rsidR="002B52A9" w:rsidP="636139E5" w:rsidRDefault="35781E33" w14:paraId="02A673A2" w14:textId="17215B2D">
      <w:pPr>
        <w:pStyle w:val="ListParagraph"/>
        <w:numPr>
          <w:ilvl w:val="0"/>
          <w:numId w:val="3"/>
        </w:numPr>
        <w:spacing w:line="256" w:lineRule="auto"/>
        <w:rPr>
          <w:rFonts w:eastAsia="Calibri"/>
        </w:rPr>
      </w:pPr>
      <w:r w:rsidRPr="26670A1D" w:rsidR="26670A1D">
        <w:rPr>
          <w:rFonts w:eastAsia="Calibri"/>
        </w:rPr>
        <w:t>The policies of FIs are assessed under different themes, which are divided into 9 cross-cutting themes, 6 sector themes and 4 operational themes. Each theme is introduced with an overview of what is at stake, the most important international standards and initiatives, and finally lists a set of key principles extracted from these international norms that are used as assessment elements to score the policies of FIs.</w:t>
      </w:r>
    </w:p>
    <w:p w:rsidRPr="00943258" w:rsidR="002B52A9" w:rsidP="002B52A9" w:rsidRDefault="002B52A9" w14:paraId="7FB395A9" w14:textId="1389B045">
      <w:pPr>
        <w:spacing w:line="256" w:lineRule="auto"/>
        <w:ind w:left="720"/>
        <w:rPr>
          <w:rFonts w:eastAsia="Calibri" w:cstheme="minorHAnsi"/>
          <w:sz w:val="20"/>
          <w:szCs w:val="20"/>
        </w:rPr>
      </w:pPr>
      <w:r w:rsidRPr="00943258">
        <w:rPr>
          <w:rFonts w:eastAsia="Calibri" w:cstheme="minorHAnsi"/>
          <w:sz w:val="20"/>
          <w:szCs w:val="20"/>
        </w:rPr>
        <w:t xml:space="preserve">        Table 1. Overview themes in FFGM</w:t>
      </w:r>
    </w:p>
    <w:tbl>
      <w:tblPr>
        <w:tblStyle w:val="TableGrid"/>
        <w:tblW w:w="0" w:type="auto"/>
        <w:tblInd w:w="1171" w:type="dxa"/>
        <w:tblBorders>
          <w:top w:val="single" w:color="4472C4" w:themeColor="accent1" w:sz="18" w:space="0"/>
          <w:left w:val="single" w:color="4472C4" w:themeColor="accent1" w:sz="18" w:space="0"/>
          <w:bottom w:val="single" w:color="4472C4" w:themeColor="accent1" w:sz="18" w:space="0"/>
          <w:right w:val="single" w:color="4472C4" w:themeColor="accent1" w:sz="18" w:space="0"/>
          <w:insideH w:val="single" w:color="8EAADB" w:themeColor="accent1" w:themeTint="99" w:sz="6" w:space="0"/>
          <w:insideV w:val="single" w:color="8EAADB" w:themeColor="accent1" w:themeTint="99" w:sz="6" w:space="0"/>
        </w:tblBorders>
        <w:shd w:val="clear" w:color="auto" w:fill="EDEDED" w:themeFill="accent3" w:themeFillTint="33"/>
        <w:tblLook w:val="04A0" w:firstRow="1" w:lastRow="0" w:firstColumn="1" w:lastColumn="0" w:noHBand="0" w:noVBand="1"/>
        <w:tblCaption w:val="Table 1 Themes in FFGM"/>
        <w:tblDescription w:val="Table 1 Themes in FFGM"/>
      </w:tblPr>
      <w:tblGrid>
        <w:gridCol w:w="2337"/>
        <w:gridCol w:w="2337"/>
        <w:gridCol w:w="2338"/>
      </w:tblGrid>
      <w:tr w:rsidRPr="000762F6" w:rsidR="00DD22D0" w:rsidTr="26670A1D" w14:paraId="1A505986" w14:textId="77777777">
        <w:tc>
          <w:tcPr>
            <w:tcW w:w="2337" w:type="dxa"/>
            <w:shd w:val="clear" w:color="auto" w:fill="EDEDED" w:themeFill="accent3" w:themeFillTint="33"/>
            <w:tcMar/>
          </w:tcPr>
          <w:p w:rsidRPr="000762F6" w:rsidR="00DD22D0" w:rsidP="00DD22D0" w:rsidRDefault="00DD22D0" w14:paraId="71A9DE65" w14:textId="00AAE168">
            <w:pPr>
              <w:spacing w:line="256" w:lineRule="auto"/>
              <w:rPr>
                <w:rFonts w:eastAsia="Calibri" w:cstheme="minorHAnsi"/>
                <w:b/>
                <w:bCs/>
              </w:rPr>
            </w:pPr>
            <w:r w:rsidRPr="000762F6">
              <w:rPr>
                <w:rFonts w:eastAsia="Calibri" w:cstheme="minorHAnsi"/>
                <w:b/>
                <w:bCs/>
              </w:rPr>
              <w:t>Cross Cutting Themes</w:t>
            </w:r>
          </w:p>
        </w:tc>
        <w:tc>
          <w:tcPr>
            <w:tcW w:w="2337" w:type="dxa"/>
            <w:shd w:val="clear" w:color="auto" w:fill="EDEDED" w:themeFill="accent3" w:themeFillTint="33"/>
            <w:tcMar/>
          </w:tcPr>
          <w:p w:rsidRPr="000762F6" w:rsidR="00DD22D0" w:rsidP="00DD22D0" w:rsidRDefault="00DD22D0" w14:paraId="1CC5BCE8" w14:textId="3463E4AF">
            <w:pPr>
              <w:spacing w:line="256" w:lineRule="auto"/>
              <w:rPr>
                <w:rFonts w:eastAsia="Calibri" w:cstheme="minorHAnsi"/>
                <w:b/>
                <w:bCs/>
              </w:rPr>
            </w:pPr>
            <w:r w:rsidRPr="000762F6">
              <w:rPr>
                <w:rFonts w:eastAsia="Calibri" w:cstheme="minorHAnsi"/>
                <w:b/>
                <w:bCs/>
              </w:rPr>
              <w:t>Sector Themes</w:t>
            </w:r>
          </w:p>
        </w:tc>
        <w:tc>
          <w:tcPr>
            <w:tcW w:w="2338" w:type="dxa"/>
            <w:shd w:val="clear" w:color="auto" w:fill="EDEDED" w:themeFill="accent3" w:themeFillTint="33"/>
            <w:tcMar/>
          </w:tcPr>
          <w:p w:rsidRPr="000762F6" w:rsidR="00DD22D0" w:rsidP="00DD22D0" w:rsidRDefault="00DD22D0" w14:paraId="68ECDFA1" w14:textId="4B20EFC0">
            <w:pPr>
              <w:spacing w:line="256" w:lineRule="auto"/>
              <w:rPr>
                <w:rFonts w:eastAsia="Calibri" w:cstheme="minorHAnsi"/>
                <w:b/>
                <w:bCs/>
              </w:rPr>
            </w:pPr>
            <w:r w:rsidRPr="000762F6">
              <w:rPr>
                <w:rFonts w:eastAsia="Calibri" w:cstheme="minorHAnsi"/>
                <w:b/>
                <w:bCs/>
              </w:rPr>
              <w:t>Operational Themes</w:t>
            </w:r>
          </w:p>
        </w:tc>
      </w:tr>
      <w:tr w:rsidRPr="000762F6" w:rsidR="00DD22D0" w:rsidTr="26670A1D" w14:paraId="0B8C61B8" w14:textId="77777777">
        <w:tc>
          <w:tcPr>
            <w:tcW w:w="2337" w:type="dxa"/>
            <w:shd w:val="clear" w:color="auto" w:fill="EDEDED" w:themeFill="accent3" w:themeFillTint="33"/>
            <w:tcMar/>
          </w:tcPr>
          <w:p w:rsidRPr="000762F6" w:rsidR="00DD22D0" w:rsidP="00DD22D0" w:rsidRDefault="00DD22D0" w14:paraId="178729D2" w14:textId="77454A12">
            <w:pPr>
              <w:spacing w:line="256" w:lineRule="auto"/>
              <w:rPr>
                <w:rFonts w:eastAsia="Calibri" w:cstheme="minorHAnsi"/>
              </w:rPr>
            </w:pPr>
            <w:r w:rsidRPr="000762F6">
              <w:rPr>
                <w:rFonts w:cstheme="minorHAnsi"/>
              </w:rPr>
              <w:t>Animal welfare</w:t>
            </w:r>
          </w:p>
        </w:tc>
        <w:tc>
          <w:tcPr>
            <w:tcW w:w="2337" w:type="dxa"/>
            <w:shd w:val="clear" w:color="auto" w:fill="EDEDED" w:themeFill="accent3" w:themeFillTint="33"/>
            <w:tcMar/>
          </w:tcPr>
          <w:p w:rsidRPr="000762F6" w:rsidR="00DD22D0" w:rsidP="00DD22D0" w:rsidRDefault="00DD22D0" w14:paraId="375C2359" w14:textId="2F99C0D8">
            <w:pPr>
              <w:spacing w:line="256" w:lineRule="auto"/>
              <w:rPr>
                <w:rFonts w:eastAsia="Calibri" w:cstheme="minorHAnsi"/>
              </w:rPr>
            </w:pPr>
            <w:r w:rsidRPr="000762F6">
              <w:rPr>
                <w:rFonts w:cstheme="minorHAnsi"/>
              </w:rPr>
              <w:t>Arms</w:t>
            </w:r>
          </w:p>
        </w:tc>
        <w:tc>
          <w:tcPr>
            <w:tcW w:w="2338" w:type="dxa"/>
            <w:shd w:val="clear" w:color="auto" w:fill="EDEDED" w:themeFill="accent3" w:themeFillTint="33"/>
            <w:tcMar/>
          </w:tcPr>
          <w:p w:rsidRPr="000762F6" w:rsidR="00DD22D0" w:rsidP="00DD22D0" w:rsidRDefault="00883EF2" w14:paraId="64C4E0CD" w14:textId="32B20C96">
            <w:pPr>
              <w:spacing w:line="256" w:lineRule="auto"/>
              <w:rPr>
                <w:rFonts w:eastAsia="Calibri" w:cstheme="minorHAnsi"/>
              </w:rPr>
            </w:pPr>
            <w:r w:rsidRPr="000762F6">
              <w:rPr>
                <w:rFonts w:cstheme="minorHAnsi"/>
              </w:rPr>
              <w:t xml:space="preserve">Financial </w:t>
            </w:r>
            <w:r w:rsidRPr="000762F6" w:rsidR="00DD22D0">
              <w:rPr>
                <w:rFonts w:cstheme="minorHAnsi"/>
              </w:rPr>
              <w:t>Consumer protection</w:t>
            </w:r>
          </w:p>
        </w:tc>
      </w:tr>
      <w:tr w:rsidRPr="000762F6" w:rsidR="00DD22D0" w:rsidTr="26670A1D" w14:paraId="17394D8E" w14:textId="77777777">
        <w:tc>
          <w:tcPr>
            <w:tcW w:w="2337" w:type="dxa"/>
            <w:shd w:val="clear" w:color="auto" w:fill="EDEDED" w:themeFill="accent3" w:themeFillTint="33"/>
            <w:tcMar/>
          </w:tcPr>
          <w:p w:rsidRPr="000762F6" w:rsidR="00DD22D0" w:rsidP="00DD22D0" w:rsidRDefault="006E68DD" w14:paraId="238D7E3A" w14:textId="05C34CEE">
            <w:pPr>
              <w:spacing w:line="256" w:lineRule="auto"/>
              <w:rPr>
                <w:rFonts w:eastAsia="Calibri" w:cstheme="minorHAnsi"/>
              </w:rPr>
            </w:pPr>
            <w:r w:rsidRPr="000762F6">
              <w:rPr>
                <w:rFonts w:cstheme="minorHAnsi"/>
              </w:rPr>
              <w:t>Climate Change</w:t>
            </w:r>
          </w:p>
        </w:tc>
        <w:tc>
          <w:tcPr>
            <w:tcW w:w="2337" w:type="dxa"/>
            <w:shd w:val="clear" w:color="auto" w:fill="EDEDED" w:themeFill="accent3" w:themeFillTint="33"/>
            <w:tcMar/>
          </w:tcPr>
          <w:p w:rsidRPr="000762F6" w:rsidR="00DD22D0" w:rsidP="26670A1D" w:rsidRDefault="00DD22D0" w14:paraId="4570A5E6" w14:textId="0C64E519">
            <w:pPr>
              <w:spacing w:line="256" w:lineRule="auto"/>
              <w:rPr>
                <w:rFonts w:eastAsia="Calibri" w:cs="Calibri" w:cstheme="minorAscii"/>
              </w:rPr>
            </w:pPr>
            <w:r w:rsidRPr="26670A1D" w:rsidR="26670A1D">
              <w:rPr>
                <w:rFonts w:cs="Calibri" w:cstheme="minorAscii"/>
              </w:rPr>
              <w:t>Food and agriculture</w:t>
            </w:r>
          </w:p>
          <w:p w:rsidRPr="000762F6" w:rsidR="00DD22D0" w:rsidP="26670A1D" w:rsidRDefault="00DD22D0" w14:paraId="06303B42" w14:textId="23D0C4F1">
            <w:pPr>
              <w:pStyle w:val="Normal"/>
              <w:spacing w:line="256" w:lineRule="auto"/>
              <w:rPr>
                <w:rFonts w:cs="Calibri" w:cstheme="minorAscii"/>
              </w:rPr>
            </w:pPr>
          </w:p>
        </w:tc>
        <w:tc>
          <w:tcPr>
            <w:tcW w:w="2338" w:type="dxa"/>
            <w:shd w:val="clear" w:color="auto" w:fill="EDEDED" w:themeFill="accent3" w:themeFillTint="33"/>
            <w:tcMar/>
          </w:tcPr>
          <w:p w:rsidRPr="000762F6" w:rsidR="00DD22D0" w:rsidP="00DD22D0" w:rsidRDefault="00DD22D0" w14:paraId="035E11B2" w14:textId="209AB93D">
            <w:pPr>
              <w:spacing w:line="256" w:lineRule="auto"/>
              <w:rPr>
                <w:rFonts w:eastAsia="Calibri" w:cstheme="minorHAnsi"/>
              </w:rPr>
            </w:pPr>
            <w:r w:rsidRPr="000762F6">
              <w:rPr>
                <w:rFonts w:cstheme="minorHAnsi"/>
              </w:rPr>
              <w:t>Financial inclusion</w:t>
            </w:r>
          </w:p>
        </w:tc>
      </w:tr>
      <w:tr w:rsidRPr="000762F6" w:rsidR="00DD22D0" w:rsidTr="26670A1D" w14:paraId="6DD3D362" w14:textId="77777777">
        <w:tc>
          <w:tcPr>
            <w:tcW w:w="2337" w:type="dxa"/>
            <w:shd w:val="clear" w:color="auto" w:fill="EDEDED" w:themeFill="accent3" w:themeFillTint="33"/>
            <w:tcMar/>
          </w:tcPr>
          <w:p w:rsidRPr="000762F6" w:rsidR="00DD22D0" w:rsidP="00DD22D0" w:rsidRDefault="006E68DD" w14:paraId="0C60FA49" w14:textId="5F1951EA">
            <w:pPr>
              <w:spacing w:line="256" w:lineRule="auto"/>
              <w:rPr>
                <w:rFonts w:eastAsia="Calibri" w:cstheme="minorHAnsi"/>
              </w:rPr>
            </w:pPr>
            <w:r w:rsidRPr="000762F6">
              <w:rPr>
                <w:rFonts w:cstheme="minorHAnsi"/>
              </w:rPr>
              <w:t>Corruption</w:t>
            </w:r>
          </w:p>
        </w:tc>
        <w:tc>
          <w:tcPr>
            <w:tcW w:w="2337" w:type="dxa"/>
            <w:shd w:val="clear" w:color="auto" w:fill="EDEDED" w:themeFill="accent3" w:themeFillTint="33"/>
            <w:tcMar/>
          </w:tcPr>
          <w:p w:rsidRPr="000762F6" w:rsidR="00DD22D0" w:rsidP="26670A1D" w:rsidRDefault="00DD22D0" w14:paraId="744A4CCE" w14:textId="5D32434D">
            <w:pPr>
              <w:spacing w:line="256" w:lineRule="auto"/>
              <w:rPr>
                <w:rFonts w:eastAsia="Calibri" w:cs="Calibri" w:cstheme="minorAscii"/>
              </w:rPr>
            </w:pPr>
            <w:r w:rsidRPr="26670A1D" w:rsidR="26670A1D">
              <w:rPr>
                <w:rFonts w:cs="Calibri" w:cstheme="minorAscii"/>
              </w:rPr>
              <w:t>Forestry</w:t>
            </w:r>
          </w:p>
          <w:p w:rsidRPr="000762F6" w:rsidR="00DD22D0" w:rsidP="26670A1D" w:rsidRDefault="00DD22D0" w14:paraId="7F6E70BF" w14:textId="6657DD11">
            <w:pPr>
              <w:pStyle w:val="Normal"/>
              <w:spacing w:line="256" w:lineRule="auto"/>
              <w:rPr>
                <w:rFonts w:cs="Calibri" w:cstheme="minorAscii"/>
              </w:rPr>
            </w:pPr>
          </w:p>
        </w:tc>
        <w:tc>
          <w:tcPr>
            <w:tcW w:w="2338" w:type="dxa"/>
            <w:shd w:val="clear" w:color="auto" w:fill="EDEDED" w:themeFill="accent3" w:themeFillTint="33"/>
            <w:tcMar/>
          </w:tcPr>
          <w:p w:rsidRPr="000762F6" w:rsidR="00DD22D0" w:rsidP="00DD22D0" w:rsidRDefault="00DD22D0" w14:paraId="4AE8525C" w14:textId="6AC10E6F">
            <w:pPr>
              <w:spacing w:line="256" w:lineRule="auto"/>
              <w:rPr>
                <w:rFonts w:eastAsia="Calibri" w:cstheme="minorHAnsi"/>
              </w:rPr>
            </w:pPr>
            <w:r w:rsidRPr="000762F6">
              <w:rPr>
                <w:rFonts w:cstheme="minorHAnsi"/>
              </w:rPr>
              <w:t>Remuneration</w:t>
            </w:r>
          </w:p>
        </w:tc>
      </w:tr>
      <w:tr w:rsidRPr="000762F6" w:rsidR="00DD22D0" w:rsidTr="26670A1D" w14:paraId="74E5060A" w14:textId="77777777">
        <w:tc>
          <w:tcPr>
            <w:tcW w:w="2337" w:type="dxa"/>
            <w:shd w:val="clear" w:color="auto" w:fill="EDEDED" w:themeFill="accent3" w:themeFillTint="33"/>
            <w:tcMar/>
          </w:tcPr>
          <w:p w:rsidRPr="000762F6" w:rsidR="00DD22D0" w:rsidP="00DD22D0" w:rsidRDefault="00B11E51" w14:paraId="7261590D" w14:textId="74183832">
            <w:pPr>
              <w:spacing w:line="256" w:lineRule="auto"/>
              <w:rPr>
                <w:rFonts w:eastAsia="Calibri" w:cstheme="minorHAnsi"/>
              </w:rPr>
            </w:pPr>
            <w:r w:rsidRPr="000762F6">
              <w:rPr>
                <w:rFonts w:cstheme="minorHAnsi"/>
              </w:rPr>
              <w:t>Gender Equality</w:t>
            </w:r>
          </w:p>
        </w:tc>
        <w:tc>
          <w:tcPr>
            <w:tcW w:w="2337" w:type="dxa"/>
            <w:shd w:val="clear" w:color="auto" w:fill="EDEDED" w:themeFill="accent3" w:themeFillTint="33"/>
            <w:tcMar/>
          </w:tcPr>
          <w:p w:rsidRPr="000762F6" w:rsidR="00DD22D0" w:rsidP="26670A1D" w:rsidRDefault="00DD22D0" w14:paraId="01751CE7" w14:textId="7C6621F3">
            <w:pPr>
              <w:spacing w:line="256" w:lineRule="auto"/>
              <w:rPr>
                <w:rFonts w:eastAsia="Calibri" w:cs="Calibri" w:cstheme="minorAscii"/>
              </w:rPr>
            </w:pPr>
            <w:r w:rsidRPr="26670A1D" w:rsidR="26670A1D">
              <w:rPr>
                <w:rFonts w:cs="Calibri" w:cstheme="minorAscii"/>
              </w:rPr>
              <w:t>Mining</w:t>
            </w:r>
          </w:p>
          <w:p w:rsidRPr="000762F6" w:rsidR="00DD22D0" w:rsidP="26670A1D" w:rsidRDefault="00DD22D0" w14:paraId="1BA22AB5" w14:textId="62E05326">
            <w:pPr>
              <w:pStyle w:val="Normal"/>
              <w:spacing w:line="256" w:lineRule="auto"/>
              <w:rPr>
                <w:rFonts w:cs="Calibri" w:cstheme="minorAscii"/>
              </w:rPr>
            </w:pPr>
          </w:p>
        </w:tc>
        <w:tc>
          <w:tcPr>
            <w:tcW w:w="2338" w:type="dxa"/>
            <w:shd w:val="clear" w:color="auto" w:fill="EDEDED" w:themeFill="accent3" w:themeFillTint="33"/>
            <w:tcMar/>
          </w:tcPr>
          <w:p w:rsidRPr="000762F6" w:rsidR="00DD22D0" w:rsidP="00DD22D0" w:rsidRDefault="00883EF2" w14:paraId="374D1348" w14:textId="143E9AFF">
            <w:pPr>
              <w:spacing w:line="256" w:lineRule="auto"/>
              <w:rPr>
                <w:rFonts w:eastAsia="Calibri" w:cstheme="minorHAnsi"/>
              </w:rPr>
            </w:pPr>
            <w:r w:rsidRPr="000762F6">
              <w:rPr>
                <w:rFonts w:cstheme="minorHAnsi"/>
              </w:rPr>
              <w:t>Transparency and Accountability</w:t>
            </w:r>
          </w:p>
        </w:tc>
      </w:tr>
      <w:tr w:rsidRPr="000762F6" w:rsidR="00B11E51" w:rsidTr="26670A1D" w14:paraId="245130A7" w14:textId="77777777">
        <w:tc>
          <w:tcPr>
            <w:tcW w:w="2337" w:type="dxa"/>
            <w:shd w:val="clear" w:color="auto" w:fill="EDEDED" w:themeFill="accent3" w:themeFillTint="33"/>
            <w:tcMar/>
          </w:tcPr>
          <w:p w:rsidRPr="000762F6" w:rsidR="00B11E51" w:rsidP="00DD22D0" w:rsidRDefault="00B11E51" w14:paraId="1125987C" w14:textId="162E0661">
            <w:pPr>
              <w:spacing w:line="256" w:lineRule="auto"/>
              <w:rPr>
                <w:rFonts w:eastAsia="Calibri" w:cstheme="minorHAnsi"/>
              </w:rPr>
            </w:pPr>
            <w:r w:rsidRPr="000762F6">
              <w:rPr>
                <w:rFonts w:cstheme="minorHAnsi"/>
              </w:rPr>
              <w:t>Health</w:t>
            </w:r>
          </w:p>
        </w:tc>
        <w:tc>
          <w:tcPr>
            <w:tcW w:w="2337" w:type="dxa"/>
            <w:shd w:val="clear" w:color="auto" w:fill="EDEDED" w:themeFill="accent3" w:themeFillTint="33"/>
            <w:tcMar/>
          </w:tcPr>
          <w:p w:rsidRPr="000762F6" w:rsidR="00B11E51" w:rsidP="26670A1D" w:rsidRDefault="00B11E51" w14:paraId="39967761" w14:textId="0FEE6044">
            <w:pPr>
              <w:spacing w:line="256" w:lineRule="auto"/>
              <w:rPr>
                <w:rFonts w:eastAsia="Calibri" w:cs="Calibri" w:cstheme="minorAscii"/>
              </w:rPr>
            </w:pPr>
            <w:r w:rsidRPr="26670A1D" w:rsidR="26670A1D">
              <w:rPr>
                <w:rFonts w:cs="Calibri" w:cstheme="minorAscii"/>
              </w:rPr>
              <w:t>Oil and gas</w:t>
            </w:r>
          </w:p>
          <w:p w:rsidRPr="000762F6" w:rsidR="00B11E51" w:rsidP="26670A1D" w:rsidRDefault="00B11E51" w14:paraId="6A57816B" w14:textId="3E8B93D3">
            <w:pPr>
              <w:pStyle w:val="Normal"/>
              <w:spacing w:line="256" w:lineRule="auto"/>
              <w:rPr>
                <w:rFonts w:cs="Calibri" w:cstheme="minorAscii"/>
              </w:rPr>
            </w:pPr>
          </w:p>
        </w:tc>
        <w:tc>
          <w:tcPr>
            <w:tcW w:w="2338" w:type="dxa"/>
            <w:shd w:val="clear" w:color="auto" w:fill="EDEDED" w:themeFill="accent3" w:themeFillTint="33"/>
            <w:tcMar/>
          </w:tcPr>
          <w:p w:rsidRPr="000762F6" w:rsidR="00B11E51" w:rsidP="00DD22D0" w:rsidRDefault="00B11E51" w14:paraId="3A0CE4CD" w14:textId="77777777">
            <w:pPr>
              <w:spacing w:line="256" w:lineRule="auto"/>
              <w:rPr>
                <w:rFonts w:eastAsia="Calibri" w:cstheme="minorHAnsi"/>
              </w:rPr>
            </w:pPr>
          </w:p>
        </w:tc>
      </w:tr>
      <w:tr w:rsidRPr="000762F6" w:rsidR="00B11E51" w:rsidTr="26670A1D" w14:paraId="30746E46" w14:textId="77777777">
        <w:tc>
          <w:tcPr>
            <w:tcW w:w="2337" w:type="dxa"/>
            <w:shd w:val="clear" w:color="auto" w:fill="EDEDED" w:themeFill="accent3" w:themeFillTint="33"/>
            <w:tcMar/>
          </w:tcPr>
          <w:p w:rsidRPr="000762F6" w:rsidR="00B11E51" w:rsidP="00DD22D0" w:rsidRDefault="00B11E51" w14:paraId="59C43E86" w14:textId="780A816C">
            <w:pPr>
              <w:spacing w:line="256" w:lineRule="auto"/>
              <w:rPr>
                <w:rFonts w:eastAsia="Calibri" w:cstheme="minorHAnsi"/>
              </w:rPr>
            </w:pPr>
            <w:r w:rsidRPr="000762F6">
              <w:rPr>
                <w:rFonts w:cstheme="minorHAnsi"/>
              </w:rPr>
              <w:t>Human Rights</w:t>
            </w:r>
          </w:p>
        </w:tc>
        <w:tc>
          <w:tcPr>
            <w:tcW w:w="2337" w:type="dxa"/>
            <w:shd w:val="clear" w:color="auto" w:fill="EDEDED" w:themeFill="accent3" w:themeFillTint="33"/>
            <w:tcMar/>
          </w:tcPr>
          <w:p w:rsidRPr="000762F6" w:rsidR="00B11E51" w:rsidP="26670A1D" w:rsidRDefault="00B11E51" w14:paraId="589F7BEF" w14:textId="0E298985">
            <w:pPr>
              <w:spacing w:line="256" w:lineRule="auto"/>
              <w:rPr>
                <w:rFonts w:eastAsia="Calibri" w:cs="Calibri" w:cstheme="minorAscii"/>
              </w:rPr>
            </w:pPr>
            <w:r w:rsidRPr="26670A1D" w:rsidR="26670A1D">
              <w:rPr>
                <w:rFonts w:cs="Calibri" w:cstheme="minorAscii"/>
              </w:rPr>
              <w:t>Power generation</w:t>
            </w:r>
          </w:p>
        </w:tc>
        <w:tc>
          <w:tcPr>
            <w:tcW w:w="2338" w:type="dxa"/>
            <w:shd w:val="clear" w:color="auto" w:fill="EDEDED" w:themeFill="accent3" w:themeFillTint="33"/>
            <w:tcMar/>
          </w:tcPr>
          <w:p w:rsidRPr="000762F6" w:rsidR="00B11E51" w:rsidP="00DD22D0" w:rsidRDefault="00B11E51" w14:paraId="7962772F" w14:textId="77777777">
            <w:pPr>
              <w:spacing w:line="256" w:lineRule="auto"/>
              <w:rPr>
                <w:rFonts w:eastAsia="Calibri" w:cstheme="minorHAnsi"/>
              </w:rPr>
            </w:pPr>
          </w:p>
        </w:tc>
      </w:tr>
      <w:tr w:rsidRPr="000762F6" w:rsidR="00B11E51" w:rsidTr="26670A1D" w14:paraId="2C166BD1" w14:textId="77777777">
        <w:tc>
          <w:tcPr>
            <w:tcW w:w="2337" w:type="dxa"/>
            <w:shd w:val="clear" w:color="auto" w:fill="EDEDED" w:themeFill="accent3" w:themeFillTint="33"/>
            <w:tcMar/>
          </w:tcPr>
          <w:p w:rsidRPr="000762F6" w:rsidR="00B11E51" w:rsidP="00DD22D0" w:rsidRDefault="00B11E51" w14:paraId="7DB73BCF" w14:textId="704C3CD2">
            <w:pPr>
              <w:spacing w:line="256" w:lineRule="auto"/>
              <w:rPr>
                <w:rFonts w:eastAsia="Calibri" w:cstheme="minorHAnsi"/>
              </w:rPr>
            </w:pPr>
            <w:r w:rsidRPr="000762F6">
              <w:rPr>
                <w:rFonts w:cstheme="minorHAnsi"/>
              </w:rPr>
              <w:t>Labor Rights</w:t>
            </w:r>
          </w:p>
        </w:tc>
        <w:tc>
          <w:tcPr>
            <w:tcW w:w="2337" w:type="dxa"/>
            <w:shd w:val="clear" w:color="auto" w:fill="EDEDED" w:themeFill="accent3" w:themeFillTint="33"/>
            <w:tcMar/>
          </w:tcPr>
          <w:p w:rsidRPr="000762F6" w:rsidR="00B11E51" w:rsidP="26670A1D" w:rsidRDefault="00B11E51" w14:paraId="797E5FDE" w14:textId="1C6732C5">
            <w:pPr>
              <w:spacing w:line="256" w:lineRule="auto"/>
              <w:rPr>
                <w:rFonts w:cs="Calibri" w:cstheme="minorAscii"/>
              </w:rPr>
            </w:pPr>
          </w:p>
        </w:tc>
        <w:tc>
          <w:tcPr>
            <w:tcW w:w="2338" w:type="dxa"/>
            <w:shd w:val="clear" w:color="auto" w:fill="EDEDED" w:themeFill="accent3" w:themeFillTint="33"/>
            <w:tcMar/>
          </w:tcPr>
          <w:p w:rsidRPr="000762F6" w:rsidR="00B11E51" w:rsidP="00DD22D0" w:rsidRDefault="00B11E51" w14:paraId="0030C89B" w14:textId="77777777">
            <w:pPr>
              <w:spacing w:line="256" w:lineRule="auto"/>
              <w:rPr>
                <w:rFonts w:eastAsia="Calibri" w:cstheme="minorHAnsi"/>
              </w:rPr>
            </w:pPr>
          </w:p>
        </w:tc>
      </w:tr>
      <w:tr w:rsidRPr="000762F6" w:rsidR="00B11E51" w:rsidTr="26670A1D" w14:paraId="783888C5" w14:textId="77777777">
        <w:tc>
          <w:tcPr>
            <w:tcW w:w="2337" w:type="dxa"/>
            <w:shd w:val="clear" w:color="auto" w:fill="EDEDED" w:themeFill="accent3" w:themeFillTint="33"/>
            <w:tcMar/>
          </w:tcPr>
          <w:p w:rsidRPr="000762F6" w:rsidR="00B11E51" w:rsidP="26670A1D" w:rsidRDefault="00B11E51" w14:paraId="5F843348" w14:textId="6DF2B897">
            <w:pPr>
              <w:pStyle w:val="Normal"/>
              <w:suppressLineNumbers w:val="0"/>
              <w:bidi w:val="0"/>
              <w:spacing w:before="0" w:beforeAutospacing="off" w:after="0" w:afterAutospacing="off" w:line="256" w:lineRule="auto"/>
              <w:ind w:left="0" w:right="0"/>
              <w:jc w:val="left"/>
            </w:pPr>
            <w:r w:rsidRPr="26670A1D" w:rsidR="26670A1D">
              <w:rPr>
                <w:rFonts w:cs="Calibri" w:cstheme="minorAscii"/>
              </w:rPr>
              <w:t>Biodiversity</w:t>
            </w:r>
          </w:p>
        </w:tc>
        <w:tc>
          <w:tcPr>
            <w:tcW w:w="2337" w:type="dxa"/>
            <w:shd w:val="clear" w:color="auto" w:fill="EDEDED" w:themeFill="accent3" w:themeFillTint="33"/>
            <w:tcMar/>
          </w:tcPr>
          <w:p w:rsidRPr="000762F6" w:rsidR="00B11E51" w:rsidP="26670A1D" w:rsidRDefault="00B11E51" w14:paraId="6DB04212" w14:textId="7D196CC4">
            <w:pPr>
              <w:spacing w:line="256" w:lineRule="auto"/>
              <w:rPr>
                <w:rFonts w:cs="Calibri" w:cstheme="minorAscii"/>
              </w:rPr>
            </w:pPr>
          </w:p>
        </w:tc>
        <w:tc>
          <w:tcPr>
            <w:tcW w:w="2338" w:type="dxa"/>
            <w:shd w:val="clear" w:color="auto" w:fill="EDEDED" w:themeFill="accent3" w:themeFillTint="33"/>
            <w:tcMar/>
          </w:tcPr>
          <w:p w:rsidRPr="000762F6" w:rsidR="00B11E51" w:rsidP="00DD22D0" w:rsidRDefault="00B11E51" w14:paraId="1DE3A27B" w14:textId="77777777">
            <w:pPr>
              <w:spacing w:line="256" w:lineRule="auto"/>
              <w:rPr>
                <w:rFonts w:eastAsia="Calibri" w:cstheme="minorHAnsi"/>
              </w:rPr>
            </w:pPr>
          </w:p>
        </w:tc>
      </w:tr>
      <w:tr w:rsidRPr="000762F6" w:rsidR="00B11E51" w:rsidTr="26670A1D" w14:paraId="33689F48" w14:textId="77777777">
        <w:tc>
          <w:tcPr>
            <w:tcW w:w="2337" w:type="dxa"/>
            <w:shd w:val="clear" w:color="auto" w:fill="EDEDED" w:themeFill="accent3" w:themeFillTint="33"/>
            <w:tcMar/>
          </w:tcPr>
          <w:p w:rsidRPr="000762F6" w:rsidR="00B11E51" w:rsidP="00DD22D0" w:rsidRDefault="00B11E51" w14:paraId="2AFE410A" w14:textId="122A4370">
            <w:pPr>
              <w:spacing w:line="256" w:lineRule="auto"/>
              <w:rPr>
                <w:rFonts w:cstheme="minorHAnsi"/>
              </w:rPr>
            </w:pPr>
            <w:r w:rsidRPr="000762F6">
              <w:rPr>
                <w:rFonts w:cstheme="minorHAnsi"/>
              </w:rPr>
              <w:t>Tax</w:t>
            </w:r>
          </w:p>
        </w:tc>
        <w:tc>
          <w:tcPr>
            <w:tcW w:w="2337" w:type="dxa"/>
            <w:shd w:val="clear" w:color="auto" w:fill="EDEDED" w:themeFill="accent3" w:themeFillTint="33"/>
            <w:tcMar/>
          </w:tcPr>
          <w:p w:rsidRPr="000762F6" w:rsidR="00B11E51" w:rsidP="00DD22D0" w:rsidRDefault="00B11E51" w14:paraId="7711EED3" w14:textId="729B278E">
            <w:pPr>
              <w:spacing w:line="256" w:lineRule="auto"/>
              <w:rPr>
                <w:rFonts w:eastAsia="Calibri" w:cstheme="minorHAnsi"/>
              </w:rPr>
            </w:pPr>
          </w:p>
        </w:tc>
        <w:tc>
          <w:tcPr>
            <w:tcW w:w="2338" w:type="dxa"/>
            <w:shd w:val="clear" w:color="auto" w:fill="EDEDED" w:themeFill="accent3" w:themeFillTint="33"/>
            <w:tcMar/>
          </w:tcPr>
          <w:p w:rsidRPr="000762F6" w:rsidR="00B11E51" w:rsidP="00DD22D0" w:rsidRDefault="00B11E51" w14:paraId="06041ED3" w14:textId="77777777">
            <w:pPr>
              <w:spacing w:line="256" w:lineRule="auto"/>
              <w:rPr>
                <w:rFonts w:eastAsia="Calibri" w:cstheme="minorHAnsi"/>
              </w:rPr>
            </w:pPr>
          </w:p>
        </w:tc>
      </w:tr>
    </w:tbl>
    <w:p w:rsidRPr="000762F6" w:rsidR="00883EF2" w:rsidP="00883EF2" w:rsidRDefault="00883EF2" w14:paraId="40519143" w14:textId="77777777">
      <w:pPr>
        <w:pStyle w:val="ListParagraph"/>
        <w:spacing w:line="256" w:lineRule="auto"/>
        <w:ind w:left="360"/>
        <w:rPr>
          <w:rFonts w:eastAsia="Calibri" w:cstheme="minorHAnsi"/>
        </w:rPr>
      </w:pPr>
    </w:p>
    <w:p w:rsidR="44EEBF7D" w:rsidP="44EEBF7D" w:rsidRDefault="44EEBF7D" w14:paraId="04E8A9BB" w14:textId="6D30957D">
      <w:pPr>
        <w:pStyle w:val="ListParagraph"/>
        <w:numPr>
          <w:ilvl w:val="0"/>
          <w:numId w:val="3"/>
        </w:numPr>
        <w:spacing w:line="256" w:lineRule="auto"/>
        <w:rPr>
          <w:rFonts w:eastAsia="Calibri" w:cs="Calibri" w:cstheme="minorAscii"/>
        </w:rPr>
      </w:pPr>
      <w:r w:rsidRPr="26670A1D" w:rsidR="26670A1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Out of the 19 available themes, 8 themes are core themes: Climate Change; Corruption; Human Rights; Labor rights; Biodiversity; Tax; Transparency and Accountability; and Gender Equality. The other 11 themes are optional for each Fair Finance coalition to include in their policy assessments depending on capacity and interest.</w:t>
      </w:r>
    </w:p>
    <w:p w:rsidRPr="000762F6" w:rsidR="000E126D" w:rsidP="49445289" w:rsidRDefault="000E126D" w14:paraId="54AE5A3D" w14:textId="79CF44C5">
      <w:pPr>
        <w:pStyle w:val="ListParagraph"/>
        <w:numPr>
          <w:ilvl w:val="0"/>
          <w:numId w:val="3"/>
        </w:numPr>
        <w:spacing w:line="256" w:lineRule="auto"/>
        <w:rPr>
          <w:rFonts w:eastAsia="Calibri" w:cs="Calibri" w:cstheme="minorAscii"/>
        </w:rPr>
      </w:pPr>
      <w:r w:rsidRPr="26670A1D" w:rsidR="26670A1D">
        <w:rPr>
          <w:rFonts w:eastAsia="Calibri" w:cs="Calibri" w:cstheme="minorAscii"/>
        </w:rPr>
        <w:t>The methodology is updated every one to two years to remain up to date with the latest international standards and to incorporate new data from across our global network. The current methodology refers to over 422 international standards and criteria and is the 8</w:t>
      </w:r>
      <w:r w:rsidRPr="26670A1D" w:rsidR="26670A1D">
        <w:rPr>
          <w:rFonts w:eastAsia="Calibri" w:cs="Calibri" w:cstheme="minorAscii"/>
          <w:vertAlign w:val="superscript"/>
        </w:rPr>
        <w:t>th</w:t>
      </w:r>
      <w:r w:rsidRPr="26670A1D" w:rsidR="26670A1D">
        <w:rPr>
          <w:rFonts w:eastAsia="Calibri" w:cs="Calibri" w:cstheme="minorAscii"/>
        </w:rPr>
        <w:t xml:space="preserve"> update since the first international methodology was developed in 2014.</w:t>
      </w:r>
    </w:p>
    <w:p w:rsidR="7ACC72AA" w:rsidP="494A0874" w:rsidRDefault="7ACC72AA" w14:paraId="425235E4" w14:textId="41A6368F">
      <w:pPr>
        <w:pStyle w:val="ListParagraph"/>
        <w:numPr>
          <w:ilvl w:val="0"/>
          <w:numId w:val="3"/>
        </w:numPr>
        <w:spacing w:line="256" w:lineRule="auto"/>
        <w:rPr>
          <w:rFonts w:cs="Calibri" w:cstheme="minorAscii"/>
        </w:rPr>
      </w:pPr>
      <w:r w:rsidRPr="704A613A" w:rsidR="704A613A">
        <w:rPr>
          <w:rFonts w:cs="Calibri" w:cstheme="minorAscii"/>
        </w:rPr>
        <w:t>The FFG methodology takes into account publicly available information only</w:t>
      </w:r>
    </w:p>
    <w:p w:rsidR="74EBB715" w:rsidP="4320872D" w:rsidRDefault="74EBB715" w14:paraId="4B68F955" w14:textId="5227FEB6">
      <w:pPr>
        <w:pStyle w:val="Normal"/>
        <w:rPr>
          <w:rFonts w:cs="Calibri" w:cstheme="minorAscii"/>
          <w:b w:val="1"/>
          <w:bCs w:val="1"/>
        </w:rPr>
      </w:pPr>
    </w:p>
    <w:p w:rsidRPr="000762F6" w:rsidR="00961D54" w:rsidP="00961D54" w:rsidRDefault="00AE4A48" w14:paraId="7D4BAA90" w14:textId="5D12472C">
      <w:pPr>
        <w:rPr>
          <w:rFonts w:cstheme="minorHAnsi"/>
          <w:b/>
          <w:bCs/>
        </w:rPr>
      </w:pPr>
      <w:r w:rsidRPr="000762F6">
        <w:rPr>
          <w:rFonts w:cstheme="minorHAnsi"/>
          <w:b/>
          <w:bCs/>
        </w:rPr>
        <w:lastRenderedPageBreak/>
        <w:t>Dimensions</w:t>
      </w:r>
    </w:p>
    <w:p w:rsidRPr="000762F6" w:rsidR="00F65E69" w:rsidP="645CF874" w:rsidRDefault="00961D54" w14:paraId="69701BA4" w14:textId="1DA05201">
      <w:pPr>
        <w:pStyle w:val="ListParagraph"/>
        <w:numPr>
          <w:ilvl w:val="0"/>
          <w:numId w:val="5"/>
        </w:numPr>
        <w:rPr>
          <w:rFonts w:cs="Calibri" w:cstheme="minorAscii"/>
        </w:rPr>
      </w:pPr>
      <w:r w:rsidRPr="74EBB715" w:rsidR="74EBB715">
        <w:rPr>
          <w:rFonts w:cs="Calibri" w:cstheme="minorAscii"/>
        </w:rPr>
        <w:t>The FFG Methodology assesses FIs’ policies along 3 dimensions</w:t>
      </w:r>
    </w:p>
    <w:p w:rsidRPr="000762F6" w:rsidR="00F65E69" w:rsidP="00F65E69" w:rsidRDefault="00961D54" w14:paraId="75AF3839" w14:textId="0E07FD0F">
      <w:pPr>
        <w:pStyle w:val="ListParagraph"/>
        <w:numPr>
          <w:ilvl w:val="1"/>
          <w:numId w:val="5"/>
        </w:numPr>
        <w:rPr>
          <w:rFonts w:cstheme="minorHAnsi"/>
        </w:rPr>
      </w:pPr>
      <w:r w:rsidRPr="000762F6">
        <w:rPr>
          <w:rFonts w:cstheme="minorHAnsi"/>
        </w:rPr>
        <w:t>Theme: sustainability issue or sector</w:t>
      </w:r>
      <w:r w:rsidRPr="000762F6" w:rsidR="008229D8">
        <w:rPr>
          <w:rFonts w:cstheme="minorHAnsi"/>
        </w:rPr>
        <w:t xml:space="preserve"> (see</w:t>
      </w:r>
      <w:r w:rsidRPr="000762F6" w:rsidR="00E37C7D">
        <w:rPr>
          <w:rFonts w:cstheme="minorHAnsi"/>
        </w:rPr>
        <w:t xml:space="preserve"> 21 themes</w:t>
      </w:r>
      <w:r w:rsidRPr="000762F6" w:rsidR="008229D8">
        <w:rPr>
          <w:rFonts w:cstheme="minorHAnsi"/>
        </w:rPr>
        <w:t xml:space="preserve"> above)</w:t>
      </w:r>
    </w:p>
    <w:p w:rsidRPr="000762F6" w:rsidR="00F65E69" w:rsidP="005E05F0" w:rsidRDefault="00961D54" w14:paraId="2093134D" w14:textId="53012434">
      <w:pPr>
        <w:pStyle w:val="ListParagraph"/>
        <w:numPr>
          <w:ilvl w:val="1"/>
          <w:numId w:val="5"/>
        </w:numPr>
        <w:rPr>
          <w:rFonts w:cstheme="minorHAnsi"/>
        </w:rPr>
      </w:pPr>
      <w:r w:rsidRPr="000762F6">
        <w:rPr>
          <w:rFonts w:cstheme="minorHAnsi"/>
        </w:rPr>
        <w:t xml:space="preserve">Content: level of adherence to international standards evaluated in specific </w:t>
      </w:r>
      <w:r w:rsidRPr="000762F6">
        <w:rPr>
          <w:rFonts w:cstheme="minorHAnsi"/>
          <w:i/>
          <w:iCs/>
        </w:rPr>
        <w:t>’assessment elements’</w:t>
      </w:r>
    </w:p>
    <w:p w:rsidRPr="000762F6" w:rsidR="00F65E69" w:rsidP="54880CF3" w:rsidRDefault="00961D54" w14:paraId="698EBA85" w14:textId="35B3E449">
      <w:pPr>
        <w:pStyle w:val="ListParagraph"/>
        <w:numPr>
          <w:ilvl w:val="1"/>
          <w:numId w:val="5"/>
        </w:numPr>
        <w:rPr>
          <w:rFonts w:cs="Calibri" w:cstheme="minorAscii"/>
        </w:rPr>
      </w:pPr>
      <w:r w:rsidRPr="74EBB715" w:rsidR="74EBB715">
        <w:rPr>
          <w:rFonts w:cs="Calibri" w:cstheme="minorAscii"/>
        </w:rPr>
        <w:t>Scope: the extent to which the policy is applied to all relevant types of investments and financial services in which a FI is active</w:t>
      </w:r>
    </w:p>
    <w:p w:rsidRPr="000762F6" w:rsidR="00961D54" w:rsidP="494A0874" w:rsidRDefault="00961D54" w14:paraId="7F089492" w14:textId="6A625282">
      <w:pPr>
        <w:pStyle w:val="ListParagraph"/>
        <w:numPr>
          <w:ilvl w:val="0"/>
          <w:numId w:val="5"/>
        </w:numPr>
        <w:rPr>
          <w:rFonts w:cs="Calibri" w:cstheme="minorAscii"/>
          <w:b w:val="1"/>
          <w:bCs w:val="1"/>
        </w:rPr>
      </w:pPr>
      <w:r w:rsidRPr="494A0874" w:rsidR="494A0874">
        <w:rPr>
          <w:rFonts w:cs="Calibri" w:cstheme="minorAscii"/>
          <w:b w:val="1"/>
          <w:bCs w:val="1"/>
        </w:rPr>
        <w:t>Assessment elements</w:t>
      </w:r>
    </w:p>
    <w:p w:rsidR="74EBB715" w:rsidP="74EBB715" w:rsidRDefault="74EBB715" w14:paraId="35688F19" w14:textId="1680584E">
      <w:pPr>
        <w:pStyle w:val="ListParagraph"/>
        <w:numPr>
          <w:ilvl w:val="0"/>
          <w:numId w:val="7"/>
        </w:numPr>
        <w:rPr>
          <w:rFonts w:cs="Calibri" w:cstheme="minorAscii"/>
        </w:rPr>
      </w:pPr>
      <w:r w:rsidRPr="4320872D" w:rsidR="4320872D">
        <w:rPr>
          <w:rFonts w:cs="Calibri" w:cstheme="minorAscii"/>
        </w:rPr>
        <w:t xml:space="preserve">Based on international standards, initiatives and best practices, the assessment elements are the sustainability principles that FFI expects to see in </w:t>
      </w:r>
      <w:proofErr w:type="spellStart"/>
      <w:r w:rsidRPr="4320872D" w:rsidR="4320872D">
        <w:rPr>
          <w:rFonts w:cs="Calibri" w:cstheme="minorAscii"/>
        </w:rPr>
        <w:t>FIs'</w:t>
      </w:r>
      <w:proofErr w:type="spellEnd"/>
      <w:r w:rsidRPr="4320872D" w:rsidR="4320872D">
        <w:rPr>
          <w:rFonts w:cs="Calibri" w:cstheme="minorAscii"/>
        </w:rPr>
        <w:t xml:space="preserve"> policies.</w:t>
      </w:r>
    </w:p>
    <w:p w:rsidR="00F12648" w:rsidP="645CF874" w:rsidRDefault="00F12648" w14:paraId="117555A1" w14:textId="66BDDA72">
      <w:pPr>
        <w:pStyle w:val="ListParagraph"/>
        <w:numPr>
          <w:ilvl w:val="0"/>
          <w:numId w:val="7"/>
        </w:numPr>
        <w:rPr>
          <w:rFonts w:cs="Calibri" w:cstheme="minorAscii"/>
        </w:rPr>
      </w:pPr>
      <w:r w:rsidRPr="4320872D" w:rsidR="4320872D">
        <w:rPr>
          <w:rFonts w:cs="Calibri" w:cstheme="minorAscii"/>
        </w:rPr>
        <w:t xml:space="preserve">The majority of the elements apply to the financial activity level, </w:t>
      </w:r>
      <w:r w:rsidRPr="4320872D" w:rsidR="4320872D">
        <w:rPr>
          <w:rFonts w:cs="Calibri" w:cstheme="minorAscii"/>
        </w:rPr>
        <w:t>i.e.,</w:t>
      </w:r>
      <w:r w:rsidRPr="4320872D" w:rsidR="4320872D">
        <w:rPr>
          <w:rFonts w:cs="Calibri" w:cstheme="minorAscii"/>
        </w:rPr>
        <w:t xml:space="preserve"> the requirements and expectations on the companies that </w:t>
      </w:r>
      <w:proofErr w:type="spellStart"/>
      <w:r w:rsidRPr="4320872D" w:rsidR="4320872D">
        <w:rPr>
          <w:rFonts w:cs="Calibri" w:cstheme="minorAscii"/>
        </w:rPr>
        <w:t>FIs’</w:t>
      </w:r>
      <w:proofErr w:type="spellEnd"/>
      <w:r w:rsidRPr="4320872D" w:rsidR="4320872D">
        <w:rPr>
          <w:rFonts w:cs="Calibri" w:cstheme="minorAscii"/>
        </w:rPr>
        <w:t xml:space="preserve"> invest in or finance (see for example elements 3 - 6 in the table below).  </w:t>
      </w:r>
    </w:p>
    <w:p w:rsidR="00F12648" w:rsidP="645CF874" w:rsidRDefault="00F12648" w14:paraId="68E1FEFF" w14:textId="6D39102A">
      <w:pPr>
        <w:pStyle w:val="ListParagraph"/>
        <w:numPr>
          <w:ilvl w:val="0"/>
          <w:numId w:val="7"/>
        </w:numPr>
        <w:rPr>
          <w:rFonts w:cs="Calibri" w:cstheme="minorAscii"/>
        </w:rPr>
      </w:pPr>
      <w:r w:rsidRPr="494A0874" w:rsidR="494A0874">
        <w:rPr>
          <w:rFonts w:cs="Calibri" w:cstheme="minorAscii"/>
        </w:rPr>
        <w:t xml:space="preserve">Some elements apply to </w:t>
      </w:r>
      <w:proofErr w:type="spellStart"/>
      <w:r w:rsidRPr="494A0874" w:rsidR="494A0874">
        <w:rPr>
          <w:rFonts w:cs="Calibri" w:cstheme="minorAscii"/>
        </w:rPr>
        <w:t>FIs’</w:t>
      </w:r>
      <w:proofErr w:type="spellEnd"/>
      <w:r w:rsidRPr="494A0874" w:rsidR="494A0874">
        <w:rPr>
          <w:rFonts w:cs="Calibri" w:cstheme="minorAscii"/>
        </w:rPr>
        <w:t xml:space="preserve"> internal operations (including their employees</w:t>
      </w:r>
      <w:r w:rsidRPr="494A0874" w:rsidR="494A0874">
        <w:rPr>
          <w:rFonts w:cs="Calibri" w:cstheme="minorAscii"/>
        </w:rPr>
        <w:t xml:space="preserve">), see for instance element 1 and 2 in the below table </w:t>
      </w:r>
    </w:p>
    <w:p w:rsidRPr="00EC0EE9" w:rsidR="00267BE6" w:rsidP="00267BE6" w:rsidRDefault="005F6C07" w14:paraId="6AAA7143" w14:textId="39844449">
      <w:pPr>
        <w:rPr>
          <w:rFonts w:cstheme="minorHAnsi"/>
          <w:sz w:val="20"/>
          <w:szCs w:val="20"/>
        </w:rPr>
      </w:pPr>
      <w:r w:rsidRPr="00EC0EE9">
        <w:rPr>
          <w:rFonts w:cstheme="minorHAnsi"/>
          <w:sz w:val="20"/>
          <w:szCs w:val="20"/>
        </w:rPr>
        <w:t xml:space="preserve">Table 2 </w:t>
      </w:r>
      <w:r w:rsidRPr="00EC0EE9" w:rsidR="00EC0EE9">
        <w:rPr>
          <w:rFonts w:cstheme="minorHAnsi"/>
          <w:sz w:val="20"/>
          <w:szCs w:val="20"/>
        </w:rPr>
        <w:t>Example of</w:t>
      </w:r>
      <w:r w:rsidR="00803037">
        <w:rPr>
          <w:rFonts w:cstheme="minorHAnsi"/>
          <w:sz w:val="20"/>
          <w:szCs w:val="20"/>
        </w:rPr>
        <w:t xml:space="preserve"> a number of elements in</w:t>
      </w:r>
      <w:r w:rsidRPr="00EC0EE9" w:rsidR="00EC0EE9">
        <w:rPr>
          <w:rFonts w:cstheme="minorHAnsi"/>
          <w:sz w:val="20"/>
          <w:szCs w:val="20"/>
        </w:rPr>
        <w:t xml:space="preserve"> </w:t>
      </w:r>
      <w:r w:rsidR="00943258">
        <w:rPr>
          <w:rFonts w:cstheme="minorHAnsi"/>
          <w:sz w:val="20"/>
          <w:szCs w:val="20"/>
        </w:rPr>
        <w:t>H</w:t>
      </w:r>
      <w:r w:rsidRPr="00EC0EE9" w:rsidR="00EC0EE9">
        <w:rPr>
          <w:rFonts w:cstheme="minorHAnsi"/>
          <w:sz w:val="20"/>
          <w:szCs w:val="20"/>
        </w:rPr>
        <w:t xml:space="preserve">uman </w:t>
      </w:r>
      <w:r w:rsidR="00943258">
        <w:rPr>
          <w:rFonts w:cstheme="minorHAnsi"/>
          <w:sz w:val="20"/>
          <w:szCs w:val="20"/>
        </w:rPr>
        <w:t>R</w:t>
      </w:r>
      <w:r w:rsidRPr="00EC0EE9" w:rsidR="00EC0EE9">
        <w:rPr>
          <w:rFonts w:cstheme="minorHAnsi"/>
          <w:sz w:val="20"/>
          <w:szCs w:val="20"/>
        </w:rPr>
        <w:t xml:space="preserve">ights </w:t>
      </w:r>
      <w:r w:rsidR="00943258">
        <w:rPr>
          <w:rFonts w:cstheme="minorHAnsi"/>
          <w:sz w:val="20"/>
          <w:szCs w:val="20"/>
        </w:rPr>
        <w:t>theme</w:t>
      </w:r>
    </w:p>
    <w:tbl>
      <w:tblPr>
        <w:tblStyle w:val="ListTable3-Accent6"/>
        <w:tblW w:w="9828" w:type="dxa"/>
        <w:tblLayout w:type="fixed"/>
        <w:tblLook w:val="0000" w:firstRow="0" w:lastRow="0" w:firstColumn="0" w:lastColumn="0" w:noHBand="0" w:noVBand="0"/>
      </w:tblPr>
      <w:tblGrid>
        <w:gridCol w:w="648"/>
        <w:gridCol w:w="9180"/>
      </w:tblGrid>
      <w:tr w:rsidRPr="000762F6" w:rsidR="000762F6" w:rsidTr="74EBB715" w14:paraId="42C24F5E" w14:textId="77777777">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9828" w:type="dxa"/>
            <w:gridSpan w:val="2"/>
            <w:tcMar/>
          </w:tcPr>
          <w:p w:rsidRPr="00BC1A8C" w:rsidR="000762F6" w:rsidRDefault="000762F6" w14:paraId="07F45089" w14:textId="77777777">
            <w:pPr>
              <w:pStyle w:val="Default"/>
              <w:rPr>
                <w:rFonts w:asciiTheme="minorHAnsi" w:hAnsiTheme="minorHAnsi" w:cstheme="minorHAnsi"/>
                <w:sz w:val="20"/>
                <w:szCs w:val="20"/>
              </w:rPr>
            </w:pPr>
            <w:r w:rsidRPr="00BC1A8C">
              <w:rPr>
                <w:rFonts w:asciiTheme="minorHAnsi" w:hAnsiTheme="minorHAnsi" w:cstheme="minorHAnsi"/>
                <w:i/>
                <w:iCs/>
                <w:sz w:val="20"/>
                <w:szCs w:val="20"/>
              </w:rPr>
              <w:t xml:space="preserve">Elements relating to </w:t>
            </w:r>
            <w:r w:rsidRPr="00BC1A8C">
              <w:rPr>
                <w:rFonts w:asciiTheme="minorHAnsi" w:hAnsiTheme="minorHAnsi" w:cstheme="minorHAnsi"/>
                <w:b/>
                <w:bCs/>
                <w:i/>
                <w:iCs/>
                <w:sz w:val="20"/>
                <w:szCs w:val="20"/>
              </w:rPr>
              <w:t>bank operations</w:t>
            </w:r>
            <w:r w:rsidRPr="00BC1A8C">
              <w:rPr>
                <w:rFonts w:asciiTheme="minorHAnsi" w:hAnsiTheme="minorHAnsi" w:cstheme="minorHAnsi"/>
                <w:i/>
                <w:iCs/>
                <w:sz w:val="20"/>
                <w:szCs w:val="20"/>
              </w:rPr>
              <w:t>:</w:t>
            </w:r>
          </w:p>
        </w:tc>
      </w:tr>
      <w:tr w:rsidRPr="000762F6" w:rsidR="000762F6" w:rsidTr="74EBB715" w14:paraId="1D1426FC" w14:textId="77777777">
        <w:trPr>
          <w:trHeight w:val="159"/>
        </w:trPr>
        <w:tc>
          <w:tcPr>
            <w:cnfStyle w:val="000010000000" w:firstRow="0" w:lastRow="0" w:firstColumn="0" w:lastColumn="0" w:oddVBand="1" w:evenVBand="0" w:oddHBand="0" w:evenHBand="0" w:firstRowFirstColumn="0" w:firstRowLastColumn="0" w:lastRowFirstColumn="0" w:lastRowLastColumn="0"/>
            <w:tcW w:w="648" w:type="dxa"/>
            <w:tcMar/>
          </w:tcPr>
          <w:p w:rsidRPr="00BC1A8C" w:rsidR="000762F6" w:rsidRDefault="000762F6" w14:paraId="336B9A72" w14:textId="77777777">
            <w:pPr>
              <w:pStyle w:val="Default"/>
              <w:rPr>
                <w:rFonts w:asciiTheme="minorHAnsi" w:hAnsiTheme="minorHAnsi" w:cstheme="minorHAnsi"/>
                <w:sz w:val="20"/>
                <w:szCs w:val="20"/>
              </w:rPr>
            </w:pPr>
            <w:r w:rsidRPr="00BC1A8C">
              <w:rPr>
                <w:rFonts w:asciiTheme="minorHAnsi" w:hAnsiTheme="minorHAnsi" w:cstheme="minorHAnsi"/>
                <w:sz w:val="20"/>
                <w:szCs w:val="20"/>
              </w:rPr>
              <w:t>1</w:t>
            </w:r>
          </w:p>
        </w:tc>
        <w:tc>
          <w:tcPr>
            <w:cnfStyle w:val="000001000000" w:firstRow="0" w:lastRow="0" w:firstColumn="0" w:lastColumn="0" w:oddVBand="0" w:evenVBand="1" w:oddHBand="0" w:evenHBand="0" w:firstRowFirstColumn="0" w:firstRowLastColumn="0" w:lastRowFirstColumn="0" w:lastRowLastColumn="0"/>
            <w:tcW w:w="9180" w:type="dxa"/>
            <w:tcMar/>
          </w:tcPr>
          <w:p w:rsidRPr="00BC1A8C" w:rsidR="000762F6" w:rsidRDefault="000762F6" w14:paraId="4210E453"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C1A8C">
              <w:rPr>
                <w:rFonts w:asciiTheme="minorHAnsi" w:hAnsiTheme="minorHAnsi" w:cstheme="minorHAnsi"/>
                <w:sz w:val="20"/>
                <w:szCs w:val="20"/>
              </w:rPr>
              <w:t>The financial institution respects all human rights as described in the United Nations Guiding Principles on Business and Human Rights.</w:t>
            </w:r>
          </w:p>
        </w:tc>
      </w:tr>
      <w:tr w:rsidRPr="000762F6" w:rsidR="000762F6" w:rsidTr="74EBB715" w14:paraId="4B1FD9E5" w14:textId="77777777">
        <w:trPr>
          <w:cnfStyle w:val="000000100000" w:firstRow="0" w:lastRow="0" w:firstColumn="0" w:lastColumn="0" w:oddVBand="0" w:evenVBand="0" w:oddHBand="1" w:evenHBand="0" w:firstRowFirstColumn="0" w:firstRowLastColumn="0" w:lastRowFirstColumn="0" w:lastRowLastColumn="0"/>
          <w:trHeight w:val="246"/>
        </w:trPr>
        <w:tc>
          <w:tcPr>
            <w:cnfStyle w:val="000010000000" w:firstRow="0" w:lastRow="0" w:firstColumn="0" w:lastColumn="0" w:oddVBand="1" w:evenVBand="0" w:oddHBand="0" w:evenHBand="0" w:firstRowFirstColumn="0" w:firstRowLastColumn="0" w:lastRowFirstColumn="0" w:lastRowLastColumn="0"/>
            <w:tcW w:w="648" w:type="dxa"/>
            <w:tcMar/>
          </w:tcPr>
          <w:p w:rsidRPr="00BC1A8C" w:rsidR="000762F6" w:rsidRDefault="000762F6" w14:paraId="29285B6E" w14:textId="77777777">
            <w:pPr>
              <w:pStyle w:val="Default"/>
              <w:rPr>
                <w:rFonts w:asciiTheme="minorHAnsi" w:hAnsiTheme="minorHAnsi" w:cstheme="minorHAnsi"/>
                <w:sz w:val="20"/>
                <w:szCs w:val="20"/>
              </w:rPr>
            </w:pPr>
            <w:r w:rsidRPr="00BC1A8C">
              <w:rPr>
                <w:rFonts w:asciiTheme="minorHAnsi" w:hAnsiTheme="minorHAnsi" w:cstheme="minorHAnsi"/>
                <w:sz w:val="20"/>
                <w:szCs w:val="20"/>
              </w:rPr>
              <w:t>2</w:t>
            </w:r>
          </w:p>
        </w:tc>
        <w:tc>
          <w:tcPr>
            <w:cnfStyle w:val="000001000000" w:firstRow="0" w:lastRow="0" w:firstColumn="0" w:lastColumn="0" w:oddVBand="0" w:evenVBand="1" w:oddHBand="0" w:evenHBand="0" w:firstRowFirstColumn="0" w:firstRowLastColumn="0" w:lastRowFirstColumn="0" w:lastRowLastColumn="0"/>
            <w:tcW w:w="9180" w:type="dxa"/>
            <w:tcMar/>
          </w:tcPr>
          <w:p w:rsidRPr="00BC1A8C" w:rsidR="000762F6" w:rsidRDefault="000762F6" w14:paraId="0C484230" w14:textId="0F7937F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C1A8C">
              <w:rPr>
                <w:rFonts w:asciiTheme="minorHAnsi" w:hAnsiTheme="minorHAnsi" w:cstheme="minorHAnsi"/>
                <w:sz w:val="20"/>
                <w:szCs w:val="20"/>
              </w:rPr>
              <w:t xml:space="preserve">The financial institution has a zero-tolerance policy towards all forms of discrimination in employment and occupation, including on the basis of gender, race, ethnicity, sexuality, and physical ability. </w:t>
            </w:r>
          </w:p>
        </w:tc>
      </w:tr>
      <w:tr w:rsidRPr="000762F6" w:rsidR="000762F6" w:rsidTr="74EBB715" w14:paraId="5F959DED" w14:textId="77777777">
        <w:trPr>
          <w:trHeight w:val="72"/>
        </w:trPr>
        <w:tc>
          <w:tcPr>
            <w:cnfStyle w:val="000010000000" w:firstRow="0" w:lastRow="0" w:firstColumn="0" w:lastColumn="0" w:oddVBand="1" w:evenVBand="0" w:oddHBand="0" w:evenHBand="0" w:firstRowFirstColumn="0" w:firstRowLastColumn="0" w:lastRowFirstColumn="0" w:lastRowLastColumn="0"/>
            <w:tcW w:w="9828" w:type="dxa"/>
            <w:gridSpan w:val="2"/>
            <w:tcMar/>
          </w:tcPr>
          <w:p w:rsidRPr="00BC1A8C" w:rsidR="000762F6" w:rsidP="49E70322" w:rsidRDefault="000762F6" w14:paraId="1FF6F159" w14:textId="2E2C1212">
            <w:pPr>
              <w:pStyle w:val="Default"/>
              <w:rPr>
                <w:rFonts w:ascii="Calibri" w:hAnsi="Calibri" w:cs="Calibri" w:asciiTheme="minorAscii" w:hAnsiTheme="minorAscii" w:cstheme="minorAscii"/>
                <w:sz w:val="20"/>
                <w:szCs w:val="20"/>
              </w:rPr>
            </w:pPr>
            <w:r w:rsidRPr="74EBB715" w:rsidR="74EBB715">
              <w:rPr>
                <w:rFonts w:ascii="Calibri" w:hAnsi="Calibri" w:cs="Calibri" w:asciiTheme="minorAscii" w:hAnsiTheme="minorAscii" w:cstheme="minorAscii"/>
                <w:i w:val="1"/>
                <w:iCs w:val="1"/>
                <w:sz w:val="20"/>
                <w:szCs w:val="20"/>
              </w:rPr>
              <w:t xml:space="preserve">Elements relating to companies </w:t>
            </w:r>
            <w:r w:rsidRPr="74EBB715" w:rsidR="74EBB715">
              <w:rPr>
                <w:rFonts w:ascii="Calibri" w:hAnsi="Calibri" w:cs="Calibri" w:asciiTheme="minorAscii" w:hAnsiTheme="minorAscii" w:cstheme="minorAscii"/>
                <w:b w:val="1"/>
                <w:bCs w:val="1"/>
                <w:i w:val="1"/>
                <w:iCs w:val="1"/>
                <w:sz w:val="20"/>
                <w:szCs w:val="20"/>
              </w:rPr>
              <w:t>the FI invests in or finances</w:t>
            </w:r>
            <w:r w:rsidRPr="74EBB715" w:rsidR="74EBB715">
              <w:rPr>
                <w:rFonts w:ascii="Calibri" w:hAnsi="Calibri" w:cs="Calibri" w:asciiTheme="minorAscii" w:hAnsiTheme="minorAscii" w:cstheme="minorAscii"/>
                <w:i w:val="1"/>
                <w:iCs w:val="1"/>
                <w:sz w:val="20"/>
                <w:szCs w:val="20"/>
              </w:rPr>
              <w:t>:</w:t>
            </w:r>
          </w:p>
        </w:tc>
      </w:tr>
      <w:tr w:rsidRPr="000762F6" w:rsidR="000762F6" w:rsidTr="74EBB715" w14:paraId="4BD9A8E8" w14:textId="77777777">
        <w:trPr>
          <w:cnfStyle w:val="000000100000" w:firstRow="0" w:lastRow="0" w:firstColumn="0" w:lastColumn="0" w:oddVBand="0" w:evenVBand="0" w:oddHBand="1" w:evenHBand="0" w:firstRowFirstColumn="0" w:firstRowLastColumn="0" w:lastRowFirstColumn="0" w:lastRowLastColumn="0"/>
          <w:trHeight w:val="159"/>
        </w:trPr>
        <w:tc>
          <w:tcPr>
            <w:cnfStyle w:val="000010000000" w:firstRow="0" w:lastRow="0" w:firstColumn="0" w:lastColumn="0" w:oddVBand="1" w:evenVBand="0" w:oddHBand="0" w:evenHBand="0" w:firstRowFirstColumn="0" w:firstRowLastColumn="0" w:lastRowFirstColumn="0" w:lastRowLastColumn="0"/>
            <w:tcW w:w="648" w:type="dxa"/>
            <w:tcMar/>
          </w:tcPr>
          <w:p w:rsidRPr="00BC1A8C" w:rsidR="000762F6" w:rsidRDefault="000762F6" w14:paraId="09D86897" w14:textId="77777777">
            <w:pPr>
              <w:pStyle w:val="Default"/>
              <w:rPr>
                <w:rFonts w:asciiTheme="minorHAnsi" w:hAnsiTheme="minorHAnsi" w:cstheme="minorHAnsi"/>
                <w:sz w:val="20"/>
                <w:szCs w:val="20"/>
              </w:rPr>
            </w:pPr>
            <w:r w:rsidRPr="00BC1A8C">
              <w:rPr>
                <w:rFonts w:asciiTheme="minorHAnsi" w:hAnsiTheme="minorHAnsi" w:cstheme="minorHAnsi"/>
                <w:sz w:val="20"/>
                <w:szCs w:val="20"/>
              </w:rPr>
              <w:t>3</w:t>
            </w:r>
          </w:p>
        </w:tc>
        <w:tc>
          <w:tcPr>
            <w:cnfStyle w:val="000001000000" w:firstRow="0" w:lastRow="0" w:firstColumn="0" w:lastColumn="0" w:oddVBand="0" w:evenVBand="1" w:oddHBand="0" w:evenHBand="0" w:firstRowFirstColumn="0" w:firstRowLastColumn="0" w:lastRowFirstColumn="0" w:lastRowLastColumn="0"/>
            <w:tcW w:w="9180" w:type="dxa"/>
            <w:tcMar/>
          </w:tcPr>
          <w:p w:rsidRPr="00BC1A8C" w:rsidR="000762F6" w:rsidRDefault="000762F6" w14:paraId="4E311403"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C1A8C">
              <w:rPr>
                <w:rFonts w:asciiTheme="minorHAnsi" w:hAnsiTheme="minorHAnsi" w:cstheme="minorHAnsi"/>
                <w:sz w:val="20"/>
                <w:szCs w:val="20"/>
              </w:rPr>
              <w:t>Companies respect all human rights as described in the United Nations Guiding Principles on Business and Human Rights.</w:t>
            </w:r>
          </w:p>
        </w:tc>
      </w:tr>
      <w:tr w:rsidRPr="000762F6" w:rsidR="000762F6" w:rsidTr="74EBB715" w14:paraId="06354136" w14:textId="77777777">
        <w:trPr>
          <w:trHeight w:val="87"/>
        </w:trPr>
        <w:tc>
          <w:tcPr>
            <w:cnfStyle w:val="000010000000" w:firstRow="0" w:lastRow="0" w:firstColumn="0" w:lastColumn="0" w:oddVBand="1" w:evenVBand="0" w:oddHBand="0" w:evenHBand="0" w:firstRowFirstColumn="0" w:firstRowLastColumn="0" w:lastRowFirstColumn="0" w:lastRowLastColumn="0"/>
            <w:tcW w:w="648" w:type="dxa"/>
            <w:tcMar/>
          </w:tcPr>
          <w:p w:rsidRPr="00BC1A8C" w:rsidR="000762F6" w:rsidRDefault="000762F6" w14:paraId="7831A2BF" w14:textId="77777777">
            <w:pPr>
              <w:pStyle w:val="Default"/>
              <w:rPr>
                <w:rFonts w:asciiTheme="minorHAnsi" w:hAnsiTheme="minorHAnsi" w:cstheme="minorHAnsi"/>
                <w:sz w:val="20"/>
                <w:szCs w:val="20"/>
              </w:rPr>
            </w:pPr>
            <w:r w:rsidRPr="00BC1A8C">
              <w:rPr>
                <w:rFonts w:asciiTheme="minorHAnsi" w:hAnsiTheme="minorHAnsi" w:cstheme="minorHAnsi"/>
                <w:sz w:val="20"/>
                <w:szCs w:val="20"/>
              </w:rPr>
              <w:t>4</w:t>
            </w:r>
          </w:p>
        </w:tc>
        <w:tc>
          <w:tcPr>
            <w:cnfStyle w:val="000001000000" w:firstRow="0" w:lastRow="0" w:firstColumn="0" w:lastColumn="0" w:oddVBand="0" w:evenVBand="1" w:oddHBand="0" w:evenHBand="0" w:firstRowFirstColumn="0" w:firstRowLastColumn="0" w:lastRowFirstColumn="0" w:lastRowLastColumn="0"/>
            <w:tcW w:w="9180" w:type="dxa"/>
            <w:tcMar/>
          </w:tcPr>
          <w:p w:rsidRPr="00BC1A8C" w:rsidR="000762F6" w:rsidRDefault="000762F6" w14:paraId="233D6AC1"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C1A8C">
              <w:rPr>
                <w:rFonts w:asciiTheme="minorHAnsi" w:hAnsiTheme="minorHAnsi" w:cstheme="minorHAnsi"/>
                <w:sz w:val="20"/>
                <w:szCs w:val="20"/>
              </w:rPr>
              <w:t>Companies have a policy commitment to meet their responsibility to respect human rights.</w:t>
            </w:r>
          </w:p>
        </w:tc>
      </w:tr>
      <w:tr w:rsidRPr="000762F6" w:rsidR="000762F6" w:rsidTr="74EBB715" w14:paraId="2AB6111E" w14:textId="77777777">
        <w:trPr>
          <w:cnfStyle w:val="000000100000" w:firstRow="0" w:lastRow="0" w:firstColumn="0" w:lastColumn="0" w:oddVBand="0" w:evenVBand="0" w:oddHBand="1" w:evenHBand="0" w:firstRowFirstColumn="0" w:firstRowLastColumn="0" w:lastRowFirstColumn="0" w:lastRowLastColumn="0"/>
          <w:trHeight w:val="159"/>
        </w:trPr>
        <w:tc>
          <w:tcPr>
            <w:cnfStyle w:val="000010000000" w:firstRow="0" w:lastRow="0" w:firstColumn="0" w:lastColumn="0" w:oddVBand="1" w:evenVBand="0" w:oddHBand="0" w:evenHBand="0" w:firstRowFirstColumn="0" w:firstRowLastColumn="0" w:lastRowFirstColumn="0" w:lastRowLastColumn="0"/>
            <w:tcW w:w="648" w:type="dxa"/>
            <w:tcMar/>
          </w:tcPr>
          <w:p w:rsidRPr="00BC1A8C" w:rsidR="000762F6" w:rsidRDefault="000762F6" w14:paraId="441378F4" w14:textId="77777777">
            <w:pPr>
              <w:pStyle w:val="Default"/>
              <w:rPr>
                <w:rFonts w:asciiTheme="minorHAnsi" w:hAnsiTheme="minorHAnsi" w:cstheme="minorHAnsi"/>
                <w:sz w:val="20"/>
                <w:szCs w:val="20"/>
              </w:rPr>
            </w:pPr>
            <w:r w:rsidRPr="00BC1A8C">
              <w:rPr>
                <w:rFonts w:asciiTheme="minorHAnsi" w:hAnsiTheme="minorHAnsi" w:cstheme="minorHAnsi"/>
                <w:sz w:val="20"/>
                <w:szCs w:val="20"/>
              </w:rPr>
              <w:t>5</w:t>
            </w:r>
          </w:p>
        </w:tc>
        <w:tc>
          <w:tcPr>
            <w:cnfStyle w:val="000001000000" w:firstRow="0" w:lastRow="0" w:firstColumn="0" w:lastColumn="0" w:oddVBand="0" w:evenVBand="1" w:oddHBand="0" w:evenHBand="0" w:firstRowFirstColumn="0" w:firstRowLastColumn="0" w:lastRowFirstColumn="0" w:lastRowLastColumn="0"/>
            <w:tcW w:w="9180" w:type="dxa"/>
            <w:tcMar/>
          </w:tcPr>
          <w:p w:rsidRPr="00BC1A8C" w:rsidR="000762F6" w:rsidRDefault="000762F6" w14:paraId="3A13F54B"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C1A8C">
              <w:rPr>
                <w:rFonts w:asciiTheme="minorHAnsi" w:hAnsiTheme="minorHAnsi" w:cstheme="minorHAnsi"/>
                <w:sz w:val="20"/>
                <w:szCs w:val="20"/>
              </w:rPr>
              <w:t>Companies have a human rights due diligence process to identify, prevent, mitigate and account for how they address their impact on human rights.</w:t>
            </w:r>
          </w:p>
        </w:tc>
      </w:tr>
      <w:tr w:rsidRPr="000762F6" w:rsidR="000762F6" w:rsidTr="74EBB715" w14:paraId="1DF5C12D" w14:textId="77777777">
        <w:trPr>
          <w:trHeight w:val="159"/>
        </w:trPr>
        <w:tc>
          <w:tcPr>
            <w:cnfStyle w:val="000010000000" w:firstRow="0" w:lastRow="0" w:firstColumn="0" w:lastColumn="0" w:oddVBand="1" w:evenVBand="0" w:oddHBand="0" w:evenHBand="0" w:firstRowFirstColumn="0" w:firstRowLastColumn="0" w:lastRowFirstColumn="0" w:lastRowLastColumn="0"/>
            <w:tcW w:w="648" w:type="dxa"/>
            <w:tcMar/>
          </w:tcPr>
          <w:p w:rsidRPr="00BC1A8C" w:rsidR="000762F6" w:rsidRDefault="000762F6" w14:paraId="25BB81B1" w14:textId="77777777">
            <w:pPr>
              <w:pStyle w:val="Default"/>
              <w:rPr>
                <w:rFonts w:asciiTheme="minorHAnsi" w:hAnsiTheme="minorHAnsi" w:cstheme="minorHAnsi"/>
                <w:sz w:val="20"/>
                <w:szCs w:val="20"/>
              </w:rPr>
            </w:pPr>
            <w:r w:rsidRPr="00BC1A8C">
              <w:rPr>
                <w:rFonts w:asciiTheme="minorHAnsi" w:hAnsiTheme="minorHAnsi" w:cstheme="minorHAnsi"/>
                <w:sz w:val="20"/>
                <w:szCs w:val="20"/>
              </w:rPr>
              <w:t>6</w:t>
            </w:r>
          </w:p>
        </w:tc>
        <w:tc>
          <w:tcPr>
            <w:cnfStyle w:val="000001000000" w:firstRow="0" w:lastRow="0" w:firstColumn="0" w:lastColumn="0" w:oddVBand="0" w:evenVBand="1" w:oddHBand="0" w:evenHBand="0" w:firstRowFirstColumn="0" w:firstRowLastColumn="0" w:lastRowFirstColumn="0" w:lastRowLastColumn="0"/>
            <w:tcW w:w="9180" w:type="dxa"/>
            <w:tcMar/>
          </w:tcPr>
          <w:p w:rsidRPr="00BC1A8C" w:rsidR="000762F6" w:rsidRDefault="000762F6" w14:paraId="256B3C51"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C1A8C">
              <w:rPr>
                <w:rFonts w:asciiTheme="minorHAnsi" w:hAnsiTheme="minorHAnsi" w:cstheme="minorHAnsi"/>
                <w:sz w:val="20"/>
                <w:szCs w:val="20"/>
              </w:rPr>
              <w:t xml:space="preserve">Companies have processes to enable the remediation of any adverse human rights impact which they cause or to which they contribute. </w:t>
            </w:r>
          </w:p>
        </w:tc>
      </w:tr>
    </w:tbl>
    <w:p w:rsidRPr="000762F6" w:rsidR="00961D54" w:rsidP="00961D54" w:rsidRDefault="00961D54" w14:paraId="2FB5842E" w14:textId="0AC4F963">
      <w:pPr>
        <w:rPr>
          <w:rFonts w:cstheme="minorHAnsi"/>
        </w:rPr>
      </w:pPr>
    </w:p>
    <w:p w:rsidRPr="009B3A2D" w:rsidR="00190EF3" w:rsidP="002F5D6E" w:rsidRDefault="00190EF3" w14:paraId="5FFB8A1A" w14:textId="375E62A5">
      <w:pPr>
        <w:rPr>
          <w:rFonts w:cstheme="minorHAnsi"/>
          <w:b/>
          <w:bCs/>
        </w:rPr>
      </w:pPr>
      <w:r w:rsidRPr="6156797C" w:rsidR="6156797C">
        <w:rPr>
          <w:rFonts w:cs="Calibri" w:cstheme="minorAscii"/>
          <w:b w:val="1"/>
          <w:bCs w:val="1"/>
        </w:rPr>
        <w:t>Scoring</w:t>
      </w:r>
    </w:p>
    <w:p w:rsidR="6156797C" w:rsidP="6156797C" w:rsidRDefault="6156797C" w14:paraId="29291169" w14:textId="709CC88B">
      <w:pPr>
        <w:pStyle w:val="ListParagraph"/>
        <w:numPr>
          <w:ilvl w:val="0"/>
          <w:numId w:val="9"/>
        </w:numPr>
        <w:rPr>
          <w:rFonts w:cs="Calibri" w:cstheme="minorAscii"/>
        </w:rPr>
      </w:pPr>
      <w:r w:rsidRPr="74EBB715" w:rsidR="74EBB715">
        <w:rPr>
          <w:rFonts w:cs="Calibri" w:cstheme="minorAscii"/>
        </w:rPr>
        <w:t xml:space="preserve">A score is assigned for each assessment element. </w:t>
      </w:r>
    </w:p>
    <w:p w:rsidR="6156797C" w:rsidP="74EBB715" w:rsidRDefault="6156797C" w14:paraId="56765422" w14:textId="5E5B6ED0">
      <w:pPr>
        <w:pStyle w:val="ListParagraph"/>
        <w:numPr>
          <w:ilvl w:val="1"/>
          <w:numId w:val="9"/>
        </w:numPr>
        <w:rPr>
          <w:rFonts w:cs="Calibri" w:cstheme="minorAscii"/>
        </w:rPr>
      </w:pPr>
      <w:r w:rsidRPr="74EBB715" w:rsidR="74EBB715">
        <w:rPr>
          <w:rFonts w:cs="Calibri" w:cstheme="minorAscii"/>
        </w:rPr>
        <w:t xml:space="preserve">A full score (1) is granted if the FI’s policy commits to the sustainability principle and applies it to the full scope of financial activities. </w:t>
      </w:r>
    </w:p>
    <w:p w:rsidR="6156797C" w:rsidP="25089235" w:rsidRDefault="6156797C" w14:paraId="210A53AD" w14:textId="2731E4A0">
      <w:pPr>
        <w:pStyle w:val="ListParagraph"/>
        <w:numPr>
          <w:ilvl w:val="1"/>
          <w:numId w:val="9"/>
        </w:numPr>
        <w:rPr>
          <w:rFonts w:cs="Calibri" w:cstheme="minorAscii"/>
        </w:rPr>
      </w:pPr>
      <w:r w:rsidRPr="74EBB715" w:rsidR="74EBB715">
        <w:rPr>
          <w:rFonts w:cs="Calibri" w:cstheme="minorAscii"/>
        </w:rPr>
        <w:t>A partial score (</w:t>
      </w:r>
      <w:r w:rsidRPr="74EBB715" w:rsidR="74EBB715">
        <w:rPr>
          <w:rFonts w:cs="Calibri" w:cstheme="minorAscii"/>
        </w:rPr>
        <w:t>0,5 &lt; 1)</w:t>
      </w:r>
      <w:r w:rsidRPr="74EBB715" w:rsidR="74EBB715">
        <w:rPr>
          <w:rFonts w:cs="Calibri" w:cstheme="minorAscii"/>
        </w:rPr>
        <w:t xml:space="preserve"> is granted if the policy has a limited scope. </w:t>
      </w:r>
    </w:p>
    <w:p w:rsidR="6156797C" w:rsidP="25089235" w:rsidRDefault="6156797C" w14:paraId="1BCFCC86" w14:textId="01E45567">
      <w:pPr>
        <w:pStyle w:val="ListParagraph"/>
        <w:numPr>
          <w:ilvl w:val="1"/>
          <w:numId w:val="9"/>
        </w:numPr>
        <w:rPr>
          <w:rFonts w:cs="Calibri" w:cstheme="minorAscii"/>
        </w:rPr>
      </w:pPr>
      <w:r w:rsidRPr="74EBB715" w:rsidR="74EBB715">
        <w:rPr>
          <w:rFonts w:cs="Calibri" w:cstheme="minorAscii"/>
        </w:rPr>
        <w:t>A basic score (0,5) is granted if the policy fulfils essential parts of the principle but not fully.</w:t>
      </w:r>
    </w:p>
    <w:p w:rsidR="6156797C" w:rsidP="6156797C" w:rsidRDefault="6156797C" w14:paraId="5786D5AF" w14:textId="48819285">
      <w:pPr>
        <w:pStyle w:val="ListParagraph"/>
        <w:numPr>
          <w:ilvl w:val="0"/>
          <w:numId w:val="9"/>
        </w:numPr>
        <w:rPr>
          <w:rFonts w:cs="Calibri" w:cstheme="minorAscii"/>
        </w:rPr>
      </w:pPr>
      <w:r w:rsidRPr="494A0874" w:rsidR="494A0874">
        <w:rPr>
          <w:rFonts w:cs="Calibri" w:cstheme="minorAscii"/>
        </w:rPr>
        <w:t xml:space="preserve">The element scores in a theme are then aggregated into a total theme score that is expressed as percentage or a scale of 0-10. </w:t>
      </w:r>
    </w:p>
    <w:p w:rsidR="25089235" w:rsidP="25089235" w:rsidRDefault="25089235" w14:paraId="59E31336" w14:textId="78978F02">
      <w:pPr>
        <w:pStyle w:val="ListParagraph"/>
        <w:numPr>
          <w:ilvl w:val="0"/>
          <w:numId w:val="9"/>
        </w:numPr>
        <w:rPr>
          <w:rFonts w:cs="Calibri" w:cstheme="minorAscii"/>
        </w:rPr>
      </w:pPr>
      <w:r w:rsidRPr="704A613A" w:rsidR="704A613A">
        <w:rPr>
          <w:rFonts w:cs="Calibri" w:cstheme="minorAscii"/>
        </w:rPr>
        <w:t>A FI’s total score is then calculated as the average score of all assessed themes and presented as the top-level result, (see illustration below).</w:t>
      </w:r>
    </w:p>
    <w:p w:rsidRPr="00D575D4" w:rsidR="00A81A5B" w:rsidP="74EBB715" w:rsidRDefault="00510182" w14:paraId="4B5D87D9" w14:textId="587731D5">
      <w:pPr>
        <w:pStyle w:val="Normal"/>
        <w:rPr>
          <w:rFonts w:cs="Calibri" w:cstheme="minorAscii"/>
          <w:sz w:val="20"/>
          <w:szCs w:val="20"/>
        </w:rPr>
      </w:pPr>
    </w:p>
    <w:p w:rsidRPr="00D575D4" w:rsidR="00A81A5B" w:rsidP="74EBB715" w:rsidRDefault="00510182" w14:paraId="5D75BE2D" w14:textId="435B2BC2">
      <w:pPr>
        <w:pStyle w:val="Normal"/>
        <w:rPr>
          <w:rFonts w:cs="Calibri" w:cstheme="minorAscii"/>
          <w:sz w:val="20"/>
          <w:szCs w:val="20"/>
        </w:rPr>
      </w:pPr>
      <w:r w:rsidRPr="74EBB715" w:rsidR="74EBB715">
        <w:rPr>
          <w:rFonts w:cs="Calibri" w:cstheme="minorAscii"/>
          <w:sz w:val="20"/>
          <w:szCs w:val="20"/>
        </w:rPr>
        <w:t>Table 3: Total score per FI in FF Germany’s policy assessment 2023</w:t>
      </w:r>
    </w:p>
    <w:p w:rsidRPr="00D575D4" w:rsidR="00A81A5B" w:rsidP="74EBB715" w:rsidRDefault="00510182" w14:textId="2DD004E6" w14:paraId="4C415A76">
      <w:pPr>
        <w:pStyle w:val="Normal"/>
        <w:rPr>
          <w:rFonts w:cs="Calibri" w:cstheme="minorAscii"/>
          <w:sz w:val="20"/>
          <w:szCs w:val="20"/>
        </w:rPr>
      </w:pPr>
      <w:r>
        <w:rPr>
          <w:rFonts w:cstheme="minorHAnsi"/>
          <w:noProof/>
          <w:sz w:val="20"/>
          <w:szCs w:val="20"/>
        </w:rPr>
        <w:drawing>
          <wp:anchor distT="0" distB="0" distL="114300" distR="114300" simplePos="0" relativeHeight="251660288" behindDoc="0" locked="0" layoutInCell="1" allowOverlap="1" wp14:anchorId="7F93CAED" wp14:editId="25DC4ABB">
            <wp:simplePos x="0" y="0"/>
            <wp:positionH relativeFrom="margin">
              <wp:align>left</wp:align>
            </wp:positionH>
            <wp:positionV relativeFrom="paragraph">
              <wp:posOffset>160020</wp:posOffset>
            </wp:positionV>
            <wp:extent cx="2597907" cy="3299460"/>
            <wp:effectExtent l="0" t="0" r="0" b="0"/>
            <wp:wrapTopAndBottom/>
            <wp:docPr id="5" name="Picture 5"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xmlns:a="http://schemas.openxmlformats.org/drawingml/2006/main">
                        <a:ext uri="{28A0092B-C50C-407E-A947-70E740481C1C}">
                          <a14:useLocalDpi xmlns:a14="http://schemas.microsoft.com/office/drawing/2010/main" val="0"/>
                        </a:ext>
                      </a:extLst>
                    </a:blip>
                    <a:srcRect l="0" t="0" r="6849" b="0"/>
                    <a:stretch>
                      <a:fillRect/>
                    </a:stretch>
                  </pic:blipFill>
                  <pic:spPr bwMode="auto">
                    <a:xfrm rot="0" flipH="0" flipV="0">
                      <a:off x="0" y="0"/>
                      <a:ext cx="2597907" cy="3299460"/>
                    </a:xfrm>
                    <a:prstGeom prst="rect">
                      <a:avLst/>
                    </a:prstGeom>
                    <a:noFill/>
                    <a:ln>
                      <a:noFill/>
                    </a:ln>
                  </pic:spPr>
                </pic:pic>
              </a:graphicData>
            </a:graphic>
            <wp14:sizeRelV relativeFrom="margin">
              <wp14:pctHeight>0</wp14:pctHeight>
            </wp14:sizeRelV>
          </wp:anchor>
        </w:drawing>
      </w:r>
    </w:p>
    <w:p w:rsidR="35781E33" w:rsidP="35781E33" w:rsidRDefault="35781E33" w14:paraId="742D2F6E" w14:textId="7020BA31"/>
    <w:p w:rsidR="35781E33" w:rsidP="35781E33" w:rsidRDefault="35781E33" w14:paraId="6458F4B7" w14:textId="58AD31F7"/>
    <w:p w:rsidR="69290CE4" w:rsidRDefault="69290CE4" w14:paraId="0340BA3F" w14:textId="49F61FD4">
      <w:r>
        <w:br w:type="page"/>
      </w:r>
    </w:p>
    <w:p w:rsidR="35781E33" w:rsidP="35781E33" w:rsidRDefault="35781E33" w14:paraId="23FE95EA" w14:textId="6C313ACF"/>
    <w:p w:rsidR="69290CE4" w:rsidP="69290CE4" w:rsidRDefault="69290CE4" w14:paraId="19F6761E" w14:textId="248CDF3A">
      <w:pPr>
        <w:pStyle w:val="Normal"/>
      </w:pPr>
    </w:p>
    <w:p w:rsidR="69290CE4" w:rsidP="720E78FE" w:rsidRDefault="69290CE4" w14:paraId="189DDF38" w14:textId="18F16C14">
      <w:pPr>
        <w:pStyle w:val="Normal"/>
        <w:bidi w:val="0"/>
        <w:spacing w:before="0" w:beforeAutospacing="off" w:after="160" w:afterAutospacing="off" w:line="259" w:lineRule="auto"/>
        <w:ind w:left="0" w:right="0"/>
        <w:jc w:val="left"/>
        <w:rPr>
          <w:b w:val="1"/>
          <w:bCs w:val="1"/>
        </w:rPr>
      </w:pPr>
      <w:r w:rsidRPr="74EBB715" w:rsidR="74EBB715">
        <w:rPr>
          <w:b w:val="1"/>
          <w:bCs w:val="1"/>
        </w:rPr>
        <w:t xml:space="preserve">Case studies to check the </w:t>
      </w:r>
      <w:proofErr w:type="spellStart"/>
      <w:r w:rsidRPr="74EBB715" w:rsidR="74EBB715">
        <w:rPr>
          <w:b w:val="1"/>
          <w:bCs w:val="1"/>
        </w:rPr>
        <w:t>FIs’</w:t>
      </w:r>
      <w:proofErr w:type="spellEnd"/>
      <w:r w:rsidRPr="74EBB715" w:rsidR="74EBB715">
        <w:rPr>
          <w:b w:val="1"/>
          <w:bCs w:val="1"/>
        </w:rPr>
        <w:t xml:space="preserve"> practices</w:t>
      </w:r>
    </w:p>
    <w:p w:rsidR="69290CE4" w:rsidP="74EBB715" w:rsidRDefault="69290CE4" w14:paraId="548A66DF" w14:textId="44581BCC">
      <w:pPr>
        <w:pStyle w:val="ListParagraph"/>
        <w:numPr>
          <w:ilvl w:val="0"/>
          <w:numId w:val="13"/>
        </w:numPr>
        <w:bidi w:val="0"/>
        <w:spacing w:before="0" w:beforeAutospacing="off" w:after="160" w:afterAutospacing="off" w:line="259" w:lineRule="auto"/>
        <w:ind/>
        <w:rPr>
          <w:b w:val="0"/>
          <w:bCs w:val="0"/>
        </w:rPr>
      </w:pPr>
      <w:r w:rsidRPr="74EBB715" w:rsidR="74EBB715">
        <w:rPr>
          <w:noProof w:val="0"/>
          <w:lang w:val="en-US"/>
        </w:rPr>
        <w:t xml:space="preserve">Next to the policy assessments, key work by the FFI Network is the publication of case studies. In case studies the operational practices, strategies and instruments of FIs are investigated more in-depth and the investments and financial services of the researched financial institutions are evaluated. Examples of case studies are </w:t>
      </w:r>
    </w:p>
    <w:p w:rsidR="69290CE4" w:rsidP="74EBB715" w:rsidRDefault="69290CE4" w14:paraId="42848F37" w14:textId="41499C94">
      <w:pPr>
        <w:pStyle w:val="ListParagraph"/>
        <w:numPr>
          <w:ilvl w:val="1"/>
          <w:numId w:val="13"/>
        </w:numPr>
        <w:bidi w:val="0"/>
        <w:spacing w:before="0" w:beforeAutospacing="off" w:after="160" w:afterAutospacing="off" w:line="259" w:lineRule="auto"/>
        <w:ind w:right="0"/>
        <w:jc w:val="left"/>
        <w:rPr>
          <w:b w:val="0"/>
          <w:bCs w:val="0"/>
        </w:rPr>
      </w:pPr>
      <w:r w:rsidR="74EBB715">
        <w:rPr>
          <w:b w:val="0"/>
          <w:bCs w:val="0"/>
        </w:rPr>
        <w:t xml:space="preserve">a </w:t>
      </w:r>
      <w:hyperlink r:id="Rfef3a8d3a3e74e70">
        <w:r w:rsidRPr="74EBB715" w:rsidR="74EBB715">
          <w:rPr>
            <w:rStyle w:val="Hyperlink"/>
            <w:b w:val="0"/>
            <w:bCs w:val="0"/>
          </w:rPr>
          <w:t>Fair Finance International report</w:t>
        </w:r>
      </w:hyperlink>
      <w:r w:rsidR="74EBB715">
        <w:rPr>
          <w:b w:val="0"/>
          <w:bCs w:val="0"/>
        </w:rPr>
        <w:t xml:space="preserve"> on financing of construction and hospitality companies and poor </w:t>
      </w:r>
      <w:proofErr w:type="spellStart"/>
      <w:r w:rsidR="74EBB715">
        <w:rPr>
          <w:b w:val="0"/>
          <w:bCs w:val="0"/>
        </w:rPr>
        <w:t>labour</w:t>
      </w:r>
      <w:proofErr w:type="spellEnd"/>
      <w:r w:rsidR="74EBB715">
        <w:rPr>
          <w:b w:val="0"/>
          <w:bCs w:val="0"/>
        </w:rPr>
        <w:t xml:space="preserve"> conditions in Qatar around the 2022 World Cup, </w:t>
      </w:r>
    </w:p>
    <w:p w:rsidR="69290CE4" w:rsidP="720E78FE" w:rsidRDefault="69290CE4" w14:paraId="4805FF35" w14:textId="5DB23D5C">
      <w:pPr>
        <w:pStyle w:val="ListParagraph"/>
        <w:numPr>
          <w:ilvl w:val="1"/>
          <w:numId w:val="13"/>
        </w:numPr>
        <w:bidi w:val="0"/>
        <w:spacing w:before="0" w:beforeAutospacing="off" w:after="160" w:afterAutospacing="off" w:line="259" w:lineRule="auto"/>
        <w:ind w:right="0"/>
        <w:jc w:val="left"/>
        <w:rPr>
          <w:b w:val="0"/>
          <w:bCs w:val="0"/>
        </w:rPr>
      </w:pPr>
      <w:r w:rsidR="74EBB715">
        <w:rPr>
          <w:b w:val="0"/>
          <w:bCs w:val="0"/>
        </w:rPr>
        <w:t xml:space="preserve">a </w:t>
      </w:r>
      <w:hyperlink r:id="R54290fdac19c4004">
        <w:r w:rsidRPr="74EBB715" w:rsidR="74EBB715">
          <w:rPr>
            <w:rStyle w:val="Hyperlink"/>
            <w:b w:val="0"/>
            <w:bCs w:val="0"/>
          </w:rPr>
          <w:t>case study</w:t>
        </w:r>
      </w:hyperlink>
      <w:r w:rsidR="74EBB715">
        <w:rPr>
          <w:b w:val="0"/>
          <w:bCs w:val="0"/>
        </w:rPr>
        <w:t xml:space="preserve"> by Fair Finance Vietnam about stranded assets risk in the context of climate change -</w:t>
      </w:r>
    </w:p>
    <w:p w:rsidR="69290CE4" w:rsidP="720E78FE" w:rsidRDefault="69290CE4" w14:paraId="659733B0" w14:textId="50A58BE7">
      <w:pPr>
        <w:pStyle w:val="ListParagraph"/>
        <w:numPr>
          <w:ilvl w:val="1"/>
          <w:numId w:val="13"/>
        </w:numPr>
        <w:bidi w:val="0"/>
        <w:spacing w:before="0" w:beforeAutospacing="off" w:after="160" w:afterAutospacing="off" w:line="259" w:lineRule="auto"/>
        <w:ind w:right="0"/>
        <w:jc w:val="left"/>
        <w:rPr>
          <w:b w:val="0"/>
          <w:bCs w:val="0"/>
        </w:rPr>
      </w:pPr>
      <w:r w:rsidR="704A613A">
        <w:rPr>
          <w:b w:val="0"/>
          <w:bCs w:val="0"/>
        </w:rPr>
        <w:t xml:space="preserve">a </w:t>
      </w:r>
      <w:hyperlink r:id="R5a52bcd8711c4132">
        <w:r w:rsidRPr="704A613A" w:rsidR="704A613A">
          <w:rPr>
            <w:rStyle w:val="Hyperlink"/>
            <w:b w:val="0"/>
            <w:bCs w:val="0"/>
          </w:rPr>
          <w:t>case study</w:t>
        </w:r>
      </w:hyperlink>
      <w:r w:rsidR="704A613A">
        <w:rPr>
          <w:b w:val="0"/>
          <w:bCs w:val="0"/>
        </w:rPr>
        <w:t xml:space="preserve"> by Fair Finance Netherlands on Dutch insurers investing 1.3 billion in exotic leather and fur, </w:t>
      </w:r>
    </w:p>
    <w:p w:rsidR="69290CE4" w:rsidP="720E78FE" w:rsidRDefault="69290CE4" w14:paraId="3BABA316" w14:textId="29CA59A4">
      <w:pPr>
        <w:pStyle w:val="ListParagraph"/>
        <w:numPr>
          <w:ilvl w:val="1"/>
          <w:numId w:val="13"/>
        </w:numPr>
        <w:bidi w:val="0"/>
        <w:spacing w:before="0" w:beforeAutospacing="off" w:after="160" w:afterAutospacing="off" w:line="259" w:lineRule="auto"/>
        <w:ind w:right="0"/>
        <w:jc w:val="left"/>
        <w:rPr>
          <w:b w:val="0"/>
          <w:bCs w:val="0"/>
        </w:rPr>
      </w:pPr>
      <w:r w:rsidR="704A613A">
        <w:rPr>
          <w:b w:val="0"/>
          <w:bCs w:val="0"/>
        </w:rPr>
        <w:t xml:space="preserve">a </w:t>
      </w:r>
      <w:hyperlink r:id="R917f44e3da7b46e2">
        <w:r w:rsidRPr="704A613A" w:rsidR="704A613A">
          <w:rPr>
            <w:rStyle w:val="Hyperlink"/>
            <w:b w:val="0"/>
            <w:bCs w:val="0"/>
          </w:rPr>
          <w:t>case study</w:t>
        </w:r>
      </w:hyperlink>
      <w:r w:rsidR="704A613A">
        <w:rPr>
          <w:b w:val="0"/>
          <w:bCs w:val="0"/>
        </w:rPr>
        <w:t xml:space="preserve"> by Fair Finance Sweden on Swedish banks increased financing of oil companies in the Arctic,</w:t>
      </w:r>
    </w:p>
    <w:p w:rsidR="054630B8" w:rsidP="054630B8" w:rsidRDefault="054630B8" w14:paraId="27172927" w14:textId="10D32A9D">
      <w:pPr>
        <w:pStyle w:val="ListParagraph"/>
        <w:numPr>
          <w:ilvl w:val="1"/>
          <w:numId w:val="13"/>
        </w:numPr>
        <w:bidi w:val="0"/>
        <w:spacing w:before="0" w:beforeAutospacing="off" w:after="160" w:afterAutospacing="off" w:line="259" w:lineRule="auto"/>
        <w:ind w:right="0"/>
        <w:jc w:val="left"/>
        <w:rPr>
          <w:b w:val="0"/>
          <w:bCs w:val="0"/>
        </w:rPr>
      </w:pPr>
      <w:r w:rsidR="704A613A">
        <w:rPr>
          <w:b w:val="0"/>
          <w:bCs w:val="0"/>
        </w:rPr>
        <w:t xml:space="preserve">a </w:t>
      </w:r>
      <w:hyperlink r:id="R7cf539664a1a4be7">
        <w:r w:rsidRPr="704A613A" w:rsidR="704A613A">
          <w:rPr>
            <w:rStyle w:val="Hyperlink"/>
            <w:b w:val="0"/>
            <w:bCs w:val="0"/>
          </w:rPr>
          <w:t>case study</w:t>
        </w:r>
      </w:hyperlink>
      <w:r w:rsidR="704A613A">
        <w:rPr>
          <w:b w:val="0"/>
          <w:bCs w:val="0"/>
        </w:rPr>
        <w:t xml:space="preserve"> by Fair Finance Brazil which revealed that one in five consumers complaints are left unresolved by banks.</w:t>
      </w:r>
    </w:p>
    <w:p w:rsidR="704A613A" w:rsidP="704A613A" w:rsidRDefault="704A613A" w14:paraId="0397CE71" w14:textId="1ED41FD7">
      <w:pPr>
        <w:pStyle w:val="ListParagraph"/>
        <w:numPr>
          <w:ilvl w:val="1"/>
          <w:numId w:val="13"/>
        </w:numPr>
        <w:bidi w:val="0"/>
        <w:spacing w:before="0" w:beforeAutospacing="off" w:after="160" w:afterAutospacing="off" w:line="259" w:lineRule="auto"/>
        <w:ind w:right="0"/>
        <w:jc w:val="left"/>
        <w:rPr>
          <w:noProof w:val="0"/>
          <w:lang w:val="en-US"/>
        </w:rPr>
      </w:pPr>
      <w:r w:rsidRPr="704A613A" w:rsidR="704A613A">
        <w:rPr>
          <w:noProof w:val="0"/>
          <w:lang w:val="en-US"/>
        </w:rPr>
        <w:t xml:space="preserve">A </w:t>
      </w:r>
      <w:hyperlink r:id="Ra1f0efd95c144fab">
        <w:r w:rsidRPr="704A613A" w:rsidR="704A613A">
          <w:rPr>
            <w:rStyle w:val="Hyperlink"/>
            <w:strike w:val="0"/>
            <w:dstrike w:val="0"/>
            <w:noProof w:val="0"/>
            <w:lang w:val="en-US"/>
          </w:rPr>
          <w:t>case study</w:t>
        </w:r>
      </w:hyperlink>
      <w:r w:rsidRPr="704A613A" w:rsidR="704A613A">
        <w:rPr>
          <w:noProof w:val="0"/>
          <w:lang w:val="en-US"/>
        </w:rPr>
        <w:t xml:space="preserve"> by Fair Finance Southern Africa  which considers whether a key development bank is a responsible investor.</w:t>
      </w:r>
    </w:p>
    <w:p w:rsidR="69290CE4" w:rsidP="74EBB715" w:rsidRDefault="69290CE4" w14:paraId="76A6BDBF" w14:textId="1A13CA6E">
      <w:pPr>
        <w:pStyle w:val="ListParagraph"/>
        <w:numPr>
          <w:ilvl w:val="0"/>
          <w:numId w:val="13"/>
        </w:numPr>
        <w:rPr>
          <w:noProof w:val="0"/>
          <w:lang w:val="en-US"/>
        </w:rPr>
      </w:pPr>
      <w:r w:rsidRPr="494A0874" w:rsidR="494A0874">
        <w:rPr>
          <w:noProof w:val="0"/>
          <w:lang w:val="en-US"/>
        </w:rPr>
        <w:t xml:space="preserve">The outcomes of these studies are reported on the websites of the different Fair Finance coalitions and the FFI </w:t>
      </w:r>
      <w:r>
        <w:fldChar w:fldCharType="begin"/>
      </w:r>
      <w:r>
        <w:instrText xml:space="preserve">HYPERLINK "https://fairfinanceguide.org/ff-international/case-studies/?p=2" </w:instrText>
      </w:r>
      <w:r>
        <w:fldChar w:fldCharType="separate"/>
      </w:r>
      <w:r w:rsidRPr="494A0874" w:rsidR="494A0874">
        <w:rPr>
          <w:noProof w:val="0"/>
          <w:lang w:val="en-US"/>
        </w:rPr>
        <w:t>website.</w:t>
      </w:r>
      <w:r>
        <w:fldChar w:fldCharType="end"/>
      </w:r>
      <w:r w:rsidRPr="494A0874" w:rsidR="494A0874">
        <w:rPr>
          <w:noProof w:val="0"/>
          <w:lang w:val="en-US"/>
        </w:rPr>
        <w:t xml:space="preserve"> </w:t>
      </w:r>
    </w:p>
    <w:p w:rsidR="69290CE4" w:rsidP="74EBB715" w:rsidRDefault="69290CE4" w14:paraId="462D5860" w14:textId="492B948B">
      <w:pPr>
        <w:pStyle w:val="ListParagraph"/>
        <w:numPr>
          <w:ilvl w:val="0"/>
          <w:numId w:val="13"/>
        </w:numPr>
        <w:rPr>
          <w:noProof w:val="0"/>
          <w:lang w:val="en-US"/>
        </w:rPr>
      </w:pPr>
      <w:r w:rsidRPr="704A613A" w:rsidR="704A613A">
        <w:rPr>
          <w:noProof w:val="0"/>
          <w:lang w:val="en-US"/>
        </w:rPr>
        <w:t xml:space="preserve">The results of the case studies </w:t>
      </w:r>
      <w:r w:rsidRPr="704A613A" w:rsidR="704A613A">
        <w:rPr>
          <w:rFonts w:ascii="Calibri" w:hAnsi="Calibri" w:eastAsia="Calibri" w:cs="Calibri"/>
          <w:noProof w:val="0"/>
          <w:sz w:val="22"/>
          <w:szCs w:val="22"/>
          <w:lang w:val="en-US"/>
        </w:rPr>
        <w:t xml:space="preserve">do not affect the policy assessments, and </w:t>
      </w:r>
      <w:r w:rsidRPr="704A613A" w:rsidR="704A613A">
        <w:rPr>
          <w:noProof w:val="0"/>
          <w:lang w:val="en-US"/>
        </w:rPr>
        <w:t xml:space="preserve">do not lead to a downgrade or upgrade of the policy assessment scores. </w:t>
      </w:r>
    </w:p>
    <w:p w:rsidR="720E78FE" w:rsidP="720E78FE" w:rsidRDefault="720E78FE" w14:paraId="4A195034" w14:textId="4206BCC7">
      <w:pPr>
        <w:pStyle w:val="ListParagraph"/>
        <w:numPr>
          <w:ilvl w:val="0"/>
          <w:numId w:val="13"/>
        </w:numPr>
        <w:rPr>
          <w:b w:val="0"/>
          <w:bCs w:val="0"/>
          <w:noProof w:val="0"/>
          <w:lang w:val="en-US"/>
        </w:rPr>
      </w:pPr>
      <w:r w:rsidRPr="704A613A" w:rsidR="704A613A">
        <w:rPr>
          <w:b w:val="0"/>
          <w:bCs w:val="0"/>
          <w:noProof w:val="0"/>
          <w:lang w:val="en-US"/>
        </w:rPr>
        <w:t>In some coalition countries, the case studies are presented as a compliance check mechanism in relation to their policy scores. If a case study concludes that a FI has failed to act in line with its policy commitments, a warning sign is posted next to the FI’s policy score on the website, (see illustration below).</w:t>
      </w:r>
    </w:p>
    <w:p w:rsidR="720E78FE" w:rsidP="720E78FE" w:rsidRDefault="720E78FE" w14:paraId="2351D087" w14:textId="6561090B">
      <w:pPr>
        <w:pStyle w:val="Normal"/>
        <w:ind w:left="0"/>
        <w:rPr>
          <w:b w:val="0"/>
          <w:bCs w:val="0"/>
          <w:noProof w:val="0"/>
          <w:lang w:val="en-US"/>
        </w:rPr>
      </w:pPr>
      <w:r w:rsidRPr="704A613A" w:rsidR="704A613A">
        <w:rPr>
          <w:b w:val="0"/>
          <w:bCs w:val="0"/>
          <w:noProof w:val="0"/>
          <w:lang w:val="en-US"/>
        </w:rPr>
        <w:t>Table 5: FF Sweden’s policy ranking 2022 where many banks have warning signs. Case studies give additional information about certain financing and investment practices.</w:t>
      </w:r>
    </w:p>
    <w:p w:rsidR="720E78FE" w:rsidP="720E78FE" w:rsidRDefault="720E78FE" w14:paraId="6989F3B2" w14:textId="0BAA77D5">
      <w:pPr>
        <w:pStyle w:val="Normal"/>
      </w:pPr>
      <w:r>
        <w:drawing>
          <wp:inline wp14:editId="2FB43196" wp14:anchorId="1A89DCF5">
            <wp:extent cx="4572000" cy="2752725"/>
            <wp:effectExtent l="0" t="0" r="0" b="0"/>
            <wp:docPr id="1782690359" name="" title=""/>
            <wp:cNvGraphicFramePr>
              <a:graphicFrameLocks noChangeAspect="1"/>
            </wp:cNvGraphicFramePr>
            <a:graphic>
              <a:graphicData uri="http://schemas.openxmlformats.org/drawingml/2006/picture">
                <pic:pic>
                  <pic:nvPicPr>
                    <pic:cNvPr id="0" name=""/>
                    <pic:cNvPicPr/>
                  </pic:nvPicPr>
                  <pic:blipFill>
                    <a:blip r:embed="R9e2cede34f4f49d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752725"/>
                    </a:xfrm>
                    <a:prstGeom prst="rect">
                      <a:avLst/>
                    </a:prstGeom>
                  </pic:spPr>
                </pic:pic>
              </a:graphicData>
            </a:graphic>
          </wp:inline>
        </w:drawing>
      </w:r>
    </w:p>
    <w:sectPr w:rsidR="35781E3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b51b0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301a9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A4702EBC"/>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00A1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80CC7"/>
    <w:multiLevelType w:val="hybridMultilevel"/>
    <w:tmpl w:val="DB1C7B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4A06C51"/>
    <w:multiLevelType w:val="hybridMultilevel"/>
    <w:tmpl w:val="712AC54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0786279"/>
    <w:multiLevelType w:val="hybridMultilevel"/>
    <w:tmpl w:val="9CAE454C"/>
    <w:lvl w:ilvl="0" w:tplc="04090001">
      <w:start w:val="1"/>
      <w:numFmt w:val="bullet"/>
      <w:lvlText w:val=""/>
      <w:lvlJc w:val="left"/>
      <w:pPr>
        <w:ind w:left="450" w:hanging="360"/>
      </w:pPr>
      <w:rPr>
        <w:rFonts w:hint="default" w:ascii="Symbol" w:hAnsi="Symbol"/>
      </w:rPr>
    </w:lvl>
    <w:lvl w:ilvl="1" w:tplc="04090003">
      <w:start w:val="1"/>
      <w:numFmt w:val="bullet"/>
      <w:lvlText w:val="o"/>
      <w:lvlJc w:val="left"/>
      <w:pPr>
        <w:ind w:left="81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75F23C2"/>
    <w:multiLevelType w:val="hybridMultilevel"/>
    <w:tmpl w:val="1CBE25B2"/>
    <w:lvl w:ilvl="0" w:tplc="04090001">
      <w:start w:val="1"/>
      <w:numFmt w:val="bullet"/>
      <w:lvlText w:val=""/>
      <w:lvlJc w:val="left"/>
      <w:pPr>
        <w:ind w:left="810" w:hanging="360"/>
      </w:pPr>
      <w:rPr>
        <w:rFonts w:hint="default" w:ascii="Symbol" w:hAnsi="Symbol"/>
      </w:rPr>
    </w:lvl>
    <w:lvl w:ilvl="1" w:tplc="04090003">
      <w:start w:val="1"/>
      <w:numFmt w:val="bullet"/>
      <w:lvlText w:val="o"/>
      <w:lvlJc w:val="left"/>
      <w:pPr>
        <w:ind w:left="810" w:hanging="360"/>
      </w:pPr>
      <w:rPr>
        <w:rFonts w:hint="default" w:ascii="Courier New" w:hAnsi="Courier New" w:cs="Courier New"/>
      </w:rPr>
    </w:lvl>
    <w:lvl w:ilvl="2" w:tplc="04090005">
      <w:start w:val="1"/>
      <w:numFmt w:val="bullet"/>
      <w:lvlText w:val=""/>
      <w:lvlJc w:val="left"/>
      <w:pPr>
        <w:ind w:left="117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6" w15:restartNumberingAfterBreak="0">
    <w:nsid w:val="37BF2475"/>
    <w:multiLevelType w:val="hybridMultilevel"/>
    <w:tmpl w:val="F61A059A"/>
    <w:lvl w:ilvl="0" w:tplc="3AFA1D08">
      <w:start w:val="1"/>
      <w:numFmt w:val="bullet"/>
      <w:lvlText w:val="·"/>
      <w:lvlJc w:val="left"/>
      <w:pPr>
        <w:ind w:left="720" w:hanging="360"/>
      </w:pPr>
      <w:rPr>
        <w:rFonts w:hint="default" w:ascii="Symbol" w:hAnsi="Symbol"/>
      </w:rPr>
    </w:lvl>
    <w:lvl w:ilvl="1" w:tplc="469E918A">
      <w:start w:val="1"/>
      <w:numFmt w:val="bullet"/>
      <w:lvlText w:val="o"/>
      <w:lvlJc w:val="left"/>
      <w:pPr>
        <w:ind w:left="1440" w:hanging="360"/>
      </w:pPr>
      <w:rPr>
        <w:rFonts w:hint="default" w:ascii="Courier New" w:hAnsi="Courier New" w:cs="Times New Roman"/>
      </w:rPr>
    </w:lvl>
    <w:lvl w:ilvl="2" w:tplc="CC242E66">
      <w:start w:val="1"/>
      <w:numFmt w:val="bullet"/>
      <w:lvlText w:val=""/>
      <w:lvlJc w:val="left"/>
      <w:pPr>
        <w:ind w:left="2160" w:hanging="360"/>
      </w:pPr>
      <w:rPr>
        <w:rFonts w:hint="default" w:ascii="Wingdings" w:hAnsi="Wingdings"/>
      </w:rPr>
    </w:lvl>
    <w:lvl w:ilvl="3" w:tplc="72A0C3C4">
      <w:start w:val="1"/>
      <w:numFmt w:val="bullet"/>
      <w:lvlText w:val=""/>
      <w:lvlJc w:val="left"/>
      <w:pPr>
        <w:ind w:left="2880" w:hanging="360"/>
      </w:pPr>
      <w:rPr>
        <w:rFonts w:hint="default" w:ascii="Symbol" w:hAnsi="Symbol"/>
      </w:rPr>
    </w:lvl>
    <w:lvl w:ilvl="4" w:tplc="C63A32FC">
      <w:start w:val="1"/>
      <w:numFmt w:val="bullet"/>
      <w:lvlText w:val="o"/>
      <w:lvlJc w:val="left"/>
      <w:pPr>
        <w:ind w:left="3600" w:hanging="360"/>
      </w:pPr>
      <w:rPr>
        <w:rFonts w:hint="default" w:ascii="Courier New" w:hAnsi="Courier New" w:cs="Times New Roman"/>
      </w:rPr>
    </w:lvl>
    <w:lvl w:ilvl="5" w:tplc="5726DF28">
      <w:start w:val="1"/>
      <w:numFmt w:val="bullet"/>
      <w:lvlText w:val=""/>
      <w:lvlJc w:val="left"/>
      <w:pPr>
        <w:ind w:left="4320" w:hanging="360"/>
      </w:pPr>
      <w:rPr>
        <w:rFonts w:hint="default" w:ascii="Wingdings" w:hAnsi="Wingdings"/>
      </w:rPr>
    </w:lvl>
    <w:lvl w:ilvl="6" w:tplc="7CCAC15A">
      <w:start w:val="1"/>
      <w:numFmt w:val="bullet"/>
      <w:lvlText w:val=""/>
      <w:lvlJc w:val="left"/>
      <w:pPr>
        <w:ind w:left="5040" w:hanging="360"/>
      </w:pPr>
      <w:rPr>
        <w:rFonts w:hint="default" w:ascii="Symbol" w:hAnsi="Symbol"/>
      </w:rPr>
    </w:lvl>
    <w:lvl w:ilvl="7" w:tplc="50543E5C">
      <w:start w:val="1"/>
      <w:numFmt w:val="bullet"/>
      <w:lvlText w:val="o"/>
      <w:lvlJc w:val="left"/>
      <w:pPr>
        <w:ind w:left="5760" w:hanging="360"/>
      </w:pPr>
      <w:rPr>
        <w:rFonts w:hint="default" w:ascii="Courier New" w:hAnsi="Courier New" w:cs="Times New Roman"/>
      </w:rPr>
    </w:lvl>
    <w:lvl w:ilvl="8" w:tplc="CF7A3958">
      <w:start w:val="1"/>
      <w:numFmt w:val="bullet"/>
      <w:lvlText w:val=""/>
      <w:lvlJc w:val="left"/>
      <w:pPr>
        <w:ind w:left="6480" w:hanging="360"/>
      </w:pPr>
      <w:rPr>
        <w:rFonts w:hint="default" w:ascii="Wingdings" w:hAnsi="Wingdings"/>
      </w:rPr>
    </w:lvl>
  </w:abstractNum>
  <w:abstractNum w:abstractNumId="7" w15:restartNumberingAfterBreak="0">
    <w:nsid w:val="3CDA435F"/>
    <w:multiLevelType w:val="hybridMultilevel"/>
    <w:tmpl w:val="AE00BC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F3B0037"/>
    <w:multiLevelType w:val="hybridMultilevel"/>
    <w:tmpl w:val="BE705EA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1603BB7"/>
    <w:multiLevelType w:val="hybridMultilevel"/>
    <w:tmpl w:val="5BCC2CE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5DF95979"/>
    <w:multiLevelType w:val="hybridMultilevel"/>
    <w:tmpl w:val="69AAF78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1" w15:restartNumberingAfterBreak="0">
    <w:nsid w:val="61A67B42"/>
    <w:multiLevelType w:val="hybridMultilevel"/>
    <w:tmpl w:val="AB380C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4">
    <w:abstractNumId w:val="13"/>
  </w:num>
  <w:num w:numId="13">
    <w:abstractNumId w:val="12"/>
  </w:num>
  <w:num w:numId="1" w16cid:durableId="837886004">
    <w:abstractNumId w:val="1"/>
  </w:num>
  <w:num w:numId="2" w16cid:durableId="832138638">
    <w:abstractNumId w:val="9"/>
  </w:num>
  <w:num w:numId="3" w16cid:durableId="1548251996">
    <w:abstractNumId w:val="10"/>
  </w:num>
  <w:num w:numId="4" w16cid:durableId="482547043">
    <w:abstractNumId w:val="6"/>
  </w:num>
  <w:num w:numId="5" w16cid:durableId="47729322">
    <w:abstractNumId w:val="3"/>
  </w:num>
  <w:num w:numId="6" w16cid:durableId="1397125806">
    <w:abstractNumId w:val="8"/>
  </w:num>
  <w:num w:numId="7" w16cid:durableId="510224326">
    <w:abstractNumId w:val="11"/>
  </w:num>
  <w:num w:numId="8" w16cid:durableId="1748528752">
    <w:abstractNumId w:val="2"/>
  </w:num>
  <w:num w:numId="9" w16cid:durableId="2040274118">
    <w:abstractNumId w:val="4"/>
  </w:num>
  <w:num w:numId="10" w16cid:durableId="1156607153">
    <w:abstractNumId w:val="0"/>
  </w:num>
  <w:num w:numId="11" w16cid:durableId="1591044187">
    <w:abstractNumId w:val="7"/>
  </w:num>
  <w:num w:numId="12" w16cid:durableId="1495297108">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54"/>
    <w:rsid w:val="0002198F"/>
    <w:rsid w:val="00026830"/>
    <w:rsid w:val="000762F6"/>
    <w:rsid w:val="000831CF"/>
    <w:rsid w:val="00095FE2"/>
    <w:rsid w:val="000A1CED"/>
    <w:rsid w:val="000B484F"/>
    <w:rsid w:val="000C1A1E"/>
    <w:rsid w:val="000E126D"/>
    <w:rsid w:val="000F1B0C"/>
    <w:rsid w:val="000F37A2"/>
    <w:rsid w:val="00166733"/>
    <w:rsid w:val="00167926"/>
    <w:rsid w:val="00181E73"/>
    <w:rsid w:val="00185C94"/>
    <w:rsid w:val="00190EF3"/>
    <w:rsid w:val="001B3D61"/>
    <w:rsid w:val="001D0F3C"/>
    <w:rsid w:val="001D5877"/>
    <w:rsid w:val="001E4E91"/>
    <w:rsid w:val="002143C5"/>
    <w:rsid w:val="00237223"/>
    <w:rsid w:val="00267BE6"/>
    <w:rsid w:val="00271ACD"/>
    <w:rsid w:val="002759C9"/>
    <w:rsid w:val="002879CC"/>
    <w:rsid w:val="002B342D"/>
    <w:rsid w:val="002B52A9"/>
    <w:rsid w:val="002F5D6E"/>
    <w:rsid w:val="00327935"/>
    <w:rsid w:val="00360025"/>
    <w:rsid w:val="0038554A"/>
    <w:rsid w:val="003B5E42"/>
    <w:rsid w:val="003F3F1D"/>
    <w:rsid w:val="00437CCB"/>
    <w:rsid w:val="004B42F3"/>
    <w:rsid w:val="00510182"/>
    <w:rsid w:val="0053743D"/>
    <w:rsid w:val="0055218B"/>
    <w:rsid w:val="00555FE5"/>
    <w:rsid w:val="0057631F"/>
    <w:rsid w:val="005B273A"/>
    <w:rsid w:val="005C283E"/>
    <w:rsid w:val="005E05F0"/>
    <w:rsid w:val="005E5F62"/>
    <w:rsid w:val="005F101B"/>
    <w:rsid w:val="005F6C07"/>
    <w:rsid w:val="00664252"/>
    <w:rsid w:val="006E68DD"/>
    <w:rsid w:val="00712E23"/>
    <w:rsid w:val="00740F68"/>
    <w:rsid w:val="00777208"/>
    <w:rsid w:val="007F29D0"/>
    <w:rsid w:val="00803037"/>
    <w:rsid w:val="00805C4C"/>
    <w:rsid w:val="008165DC"/>
    <w:rsid w:val="008229D8"/>
    <w:rsid w:val="00861F9E"/>
    <w:rsid w:val="00867975"/>
    <w:rsid w:val="00870374"/>
    <w:rsid w:val="00883EF2"/>
    <w:rsid w:val="00892C0E"/>
    <w:rsid w:val="0090523A"/>
    <w:rsid w:val="00943258"/>
    <w:rsid w:val="00946A75"/>
    <w:rsid w:val="00961D54"/>
    <w:rsid w:val="009B3A2D"/>
    <w:rsid w:val="009C0140"/>
    <w:rsid w:val="009D1389"/>
    <w:rsid w:val="009E5845"/>
    <w:rsid w:val="00A168AB"/>
    <w:rsid w:val="00A2169B"/>
    <w:rsid w:val="00A81A5B"/>
    <w:rsid w:val="00AE4A48"/>
    <w:rsid w:val="00B05F50"/>
    <w:rsid w:val="00B11E51"/>
    <w:rsid w:val="00B2210D"/>
    <w:rsid w:val="00B5271E"/>
    <w:rsid w:val="00B73BB3"/>
    <w:rsid w:val="00B85B19"/>
    <w:rsid w:val="00BB0080"/>
    <w:rsid w:val="00BC1A8C"/>
    <w:rsid w:val="00BC4D3C"/>
    <w:rsid w:val="00CA5AAB"/>
    <w:rsid w:val="00CC3909"/>
    <w:rsid w:val="00CE4862"/>
    <w:rsid w:val="00CE6BF4"/>
    <w:rsid w:val="00D41235"/>
    <w:rsid w:val="00D575D4"/>
    <w:rsid w:val="00D75CE0"/>
    <w:rsid w:val="00DA1AFF"/>
    <w:rsid w:val="00DD22D0"/>
    <w:rsid w:val="00E12BFA"/>
    <w:rsid w:val="00E2167E"/>
    <w:rsid w:val="00E37C7D"/>
    <w:rsid w:val="00EA37BD"/>
    <w:rsid w:val="00EC0EE9"/>
    <w:rsid w:val="00EF08D3"/>
    <w:rsid w:val="00F0434E"/>
    <w:rsid w:val="00F12648"/>
    <w:rsid w:val="00F24F00"/>
    <w:rsid w:val="00F65E69"/>
    <w:rsid w:val="018F4017"/>
    <w:rsid w:val="03382FC9"/>
    <w:rsid w:val="04F8CCFD"/>
    <w:rsid w:val="054630B8"/>
    <w:rsid w:val="062AE86D"/>
    <w:rsid w:val="08AA05AE"/>
    <w:rsid w:val="09E03A83"/>
    <w:rsid w:val="0A0B6076"/>
    <w:rsid w:val="0CA93949"/>
    <w:rsid w:val="13C4097B"/>
    <w:rsid w:val="14BD1817"/>
    <w:rsid w:val="1898DB64"/>
    <w:rsid w:val="1BC776D3"/>
    <w:rsid w:val="1D0470AB"/>
    <w:rsid w:val="20F30871"/>
    <w:rsid w:val="226A74DF"/>
    <w:rsid w:val="25089235"/>
    <w:rsid w:val="26670A1D"/>
    <w:rsid w:val="28A49400"/>
    <w:rsid w:val="2B058634"/>
    <w:rsid w:val="2BBDC6C7"/>
    <w:rsid w:val="2D32AF12"/>
    <w:rsid w:val="35781E33"/>
    <w:rsid w:val="36E97188"/>
    <w:rsid w:val="37D5AC97"/>
    <w:rsid w:val="3A0C79F6"/>
    <w:rsid w:val="3B2FEE4E"/>
    <w:rsid w:val="3C116423"/>
    <w:rsid w:val="3C6826CD"/>
    <w:rsid w:val="3CB5801A"/>
    <w:rsid w:val="3DA75564"/>
    <w:rsid w:val="3F605C53"/>
    <w:rsid w:val="4022D532"/>
    <w:rsid w:val="426C21E4"/>
    <w:rsid w:val="4320872D"/>
    <w:rsid w:val="44EEBF7D"/>
    <w:rsid w:val="49445289"/>
    <w:rsid w:val="494A0874"/>
    <w:rsid w:val="49E70322"/>
    <w:rsid w:val="4BD16793"/>
    <w:rsid w:val="524E0955"/>
    <w:rsid w:val="5435C20C"/>
    <w:rsid w:val="54880CF3"/>
    <w:rsid w:val="549BC250"/>
    <w:rsid w:val="587F82BA"/>
    <w:rsid w:val="6156797C"/>
    <w:rsid w:val="636139E5"/>
    <w:rsid w:val="645CF874"/>
    <w:rsid w:val="667DF04A"/>
    <w:rsid w:val="67294C24"/>
    <w:rsid w:val="69290CE4"/>
    <w:rsid w:val="69F05B42"/>
    <w:rsid w:val="6F02FFD1"/>
    <w:rsid w:val="6F1932D6"/>
    <w:rsid w:val="6F59371C"/>
    <w:rsid w:val="704A3203"/>
    <w:rsid w:val="704A613A"/>
    <w:rsid w:val="71132283"/>
    <w:rsid w:val="720E78FE"/>
    <w:rsid w:val="74EBB715"/>
    <w:rsid w:val="750D8531"/>
    <w:rsid w:val="7ACC72AA"/>
    <w:rsid w:val="7AD2A9A5"/>
    <w:rsid w:val="7BF19A53"/>
    <w:rsid w:val="7D513571"/>
    <w:rsid w:val="7DADC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9C7D"/>
  <w15:chartTrackingRefBased/>
  <w15:docId w15:val="{2DB331A5-6A77-4C56-B657-52340FDE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961D54"/>
    <w:pPr>
      <w:autoSpaceDE w:val="0"/>
      <w:autoSpaceDN w:val="0"/>
      <w:adjustRightInd w:val="0"/>
      <w:spacing w:after="0" w:line="240" w:lineRule="auto"/>
    </w:pPr>
    <w:rPr>
      <w:rFonts w:ascii="Roboto" w:hAnsi="Roboto" w:cs="Roboto"/>
      <w:color w:val="000000"/>
      <w:kern w:val="0"/>
      <w:sz w:val="24"/>
      <w:szCs w:val="24"/>
    </w:rPr>
  </w:style>
  <w:style w:type="paragraph" w:styleId="ListParagraph">
    <w:name w:val="List Paragraph"/>
    <w:basedOn w:val="Normal"/>
    <w:uiPriority w:val="34"/>
    <w:qFormat/>
    <w:rsid w:val="00A168AB"/>
    <w:pPr>
      <w:ind w:left="720"/>
      <w:contextualSpacing/>
    </w:pPr>
  </w:style>
  <w:style w:type="character" w:styleId="Hyperlink">
    <w:name w:val="Hyperlink"/>
    <w:basedOn w:val="DefaultParagraphFont"/>
    <w:uiPriority w:val="99"/>
    <w:unhideWhenUsed/>
    <w:rsid w:val="00360025"/>
    <w:rPr>
      <w:color w:val="0563C1" w:themeColor="hyperlink"/>
      <w:u w:val="single"/>
    </w:rPr>
  </w:style>
  <w:style w:type="character" w:styleId="UnresolvedMention">
    <w:name w:val="Unresolved Mention"/>
    <w:basedOn w:val="DefaultParagraphFont"/>
    <w:uiPriority w:val="99"/>
    <w:semiHidden/>
    <w:unhideWhenUsed/>
    <w:rsid w:val="005B273A"/>
    <w:rPr>
      <w:color w:val="605E5C"/>
      <w:shd w:val="clear" w:color="auto" w:fill="E1DFDD"/>
    </w:rPr>
  </w:style>
  <w:style w:type="table" w:styleId="TableGrid">
    <w:name w:val="Table Grid"/>
    <w:basedOn w:val="TableNormal"/>
    <w:uiPriority w:val="39"/>
    <w:rsid w:val="00DD22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5Dark-Accent3">
    <w:name w:val="Grid Table 5 Dark Accent 3"/>
    <w:basedOn w:val="TableNormal"/>
    <w:uiPriority w:val="50"/>
    <w:rsid w:val="00A2169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94325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1Light-Accent1">
    <w:name w:val="List Table 1 Light Accent 1"/>
    <w:basedOn w:val="TableNormal"/>
    <w:uiPriority w:val="46"/>
    <w:rsid w:val="00943258"/>
    <w:pPr>
      <w:spacing w:after="0" w:line="240" w:lineRule="auto"/>
    </w:pPr>
    <w:tblPr>
      <w:tblStyleRowBandSize w:val="1"/>
      <w:tblStyleColBandSize w:val="1"/>
    </w:tblPr>
    <w:tblStylePr w:type="firstRow">
      <w:rPr>
        <w:b/>
        <w:bCs/>
      </w:rPr>
      <w:tblPr/>
      <w:tcPr>
        <w:tcBorders>
          <w:bottom w:val="single" w:color="8EAADB" w:themeColor="accent1" w:themeTint="99" w:sz="4" w:space="0"/>
        </w:tcBorders>
      </w:tcPr>
    </w:tblStylePr>
    <w:tblStylePr w:type="lastRow">
      <w:rPr>
        <w:b/>
        <w:bCs/>
      </w:rPr>
      <w:tblPr/>
      <w:tcPr>
        <w:tcBorders>
          <w:top w:val="sing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94325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6">
    <w:name w:val="List Table 3 Accent 6"/>
    <w:basedOn w:val="TableNormal"/>
    <w:uiPriority w:val="48"/>
    <w:rsid w:val="00943258"/>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paragraph" w:styleId="Revision">
    <w:name w:val="Revision"/>
    <w:hidden/>
    <w:uiPriority w:val="99"/>
    <w:semiHidden/>
    <w:rsid w:val="00E2167E"/>
    <w:pPr>
      <w:spacing w:after="0" w:line="240" w:lineRule="auto"/>
    </w:pPr>
  </w:style>
  <w:style w:type="character" w:styleId="CommentReference">
    <w:name w:val="annotation reference"/>
    <w:basedOn w:val="DefaultParagraphFont"/>
    <w:uiPriority w:val="99"/>
    <w:semiHidden/>
    <w:unhideWhenUsed/>
    <w:rsid w:val="00E2167E"/>
    <w:rPr>
      <w:sz w:val="16"/>
      <w:szCs w:val="16"/>
    </w:rPr>
  </w:style>
  <w:style w:type="paragraph" w:styleId="CommentText">
    <w:name w:val="annotation text"/>
    <w:basedOn w:val="Normal"/>
    <w:link w:val="CommentTextChar"/>
    <w:uiPriority w:val="99"/>
    <w:unhideWhenUsed/>
    <w:rsid w:val="00E2167E"/>
    <w:pPr>
      <w:spacing w:line="240" w:lineRule="auto"/>
    </w:pPr>
    <w:rPr>
      <w:sz w:val="20"/>
      <w:szCs w:val="20"/>
    </w:rPr>
  </w:style>
  <w:style w:type="character" w:styleId="CommentTextChar" w:customStyle="1">
    <w:name w:val="Comment Text Char"/>
    <w:basedOn w:val="DefaultParagraphFont"/>
    <w:link w:val="CommentText"/>
    <w:uiPriority w:val="99"/>
    <w:rsid w:val="00E2167E"/>
    <w:rPr>
      <w:sz w:val="20"/>
      <w:szCs w:val="20"/>
    </w:rPr>
  </w:style>
  <w:style w:type="paragraph" w:styleId="CommentSubject">
    <w:name w:val="annotation subject"/>
    <w:basedOn w:val="CommentText"/>
    <w:next w:val="CommentText"/>
    <w:link w:val="CommentSubjectChar"/>
    <w:uiPriority w:val="99"/>
    <w:semiHidden/>
    <w:unhideWhenUsed/>
    <w:rsid w:val="00E2167E"/>
    <w:rPr>
      <w:b/>
      <w:bCs/>
    </w:rPr>
  </w:style>
  <w:style w:type="character" w:styleId="CommentSubjectChar" w:customStyle="1">
    <w:name w:val="Comment Subject Char"/>
    <w:basedOn w:val="CommentTextChar"/>
    <w:link w:val="CommentSubject"/>
    <w:uiPriority w:val="99"/>
    <w:semiHidden/>
    <w:rsid w:val="00E2167E"/>
    <w:rPr>
      <w:b/>
      <w:bCs/>
      <w:sz w:val="20"/>
      <w:szCs w:val="20"/>
    </w:rPr>
  </w:style>
  <w:style w:type="character" w:styleId="cf01" w:customStyle="1">
    <w:name w:val="cf01"/>
    <w:basedOn w:val="DefaultParagraphFont"/>
    <w:rsid w:val="00271ACD"/>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microsoft.com/office/2007/relationships/diagramDrawing" Target="diagrams/drawing1.xml" Id="rId13" /><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microsoft.com/office/2011/relationships/people" Target="people.xml" Id="Rd56abdff7100465f" /><Relationship Type="http://schemas.microsoft.com/office/2011/relationships/commentsExtended" Target="commentsExtended.xml" Id="R2fad80be917b4fc6" /><Relationship Type="http://schemas.microsoft.com/office/2016/09/relationships/commentsIds" Target="commentsIds.xml" Id="Rdc7df00efce541f3" /><Relationship Type="http://schemas.openxmlformats.org/officeDocument/2006/relationships/hyperlink" Target="https://fairfinanceguide.org/ff-international/case-studies/2022/fair-finance-international-report-on-financing-of-construction-and-hospitality-companies-in-qatar/" TargetMode="External" Id="Rfef3a8d3a3e74e70" /><Relationship Type="http://schemas.openxmlformats.org/officeDocument/2006/relationships/hyperlink" Target="https://fairfinanceguide.org/ff-international/case-studies/2022/stranded-assets-risk-in-the-context-of-climate-change-a-case-study-by-fair-finance-vietnam/" TargetMode="External" Id="R54290fdac19c4004" /><Relationship Type="http://schemas.openxmlformats.org/officeDocument/2006/relationships/image" Target="/media/image6.png" Id="R9e2cede34f4f49d0" /><Relationship Type="http://schemas.openxmlformats.org/officeDocument/2006/relationships/hyperlink" Target="https://fairfinanceguide.org/media/498182/ffgi-policy-assessment-methodology-2023-ffi_final.pdf" TargetMode="External" Id="R0ba0660ed6e14535" /><Relationship Type="http://schemas.openxmlformats.org/officeDocument/2006/relationships/hyperlink" Target="https://fairfinanceguide.org/ff-international/case-studies/2022/dutch-insurers-investing-13-billion-in-exotic-leather-and-fur/" TargetMode="External" Id="R5a52bcd8711c4132" /><Relationship Type="http://schemas.openxmlformats.org/officeDocument/2006/relationships/hyperlink" Target="https://fairfinanceguide.org/ff-international/case-studies/2022/swedish-banks-increase-support-for-oil-companies-in-the-arctic/" TargetMode="External" Id="R917f44e3da7b46e2" /><Relationship Type="http://schemas.openxmlformats.org/officeDocument/2006/relationships/hyperlink" Target="https://fairfinanceguide.org/ff-international/case-studies/2022/fair-finance-brazil-one-in-five-consumers-complaints-left-unresolved-by-banks/" TargetMode="External" Id="R7cf539664a1a4be7" /><Relationship Type="http://schemas.openxmlformats.org/officeDocument/2006/relationships/hyperlink" Target="https://cer.org.za/wp-content/uploads/2021/07/CER-FFCase-Study-Final.pdf" TargetMode="External" Id="Ra1f0efd95c144fab" /></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B4AAE-470B-429B-B658-2BCEDC281D99}">
      <dsp:nvSpPr>
        <dsp:cNvPr id="0" name=""/>
        <dsp:cNvSpPr/>
      </dsp:nvSpPr>
      <dsp:spPr>
        <a:xfrm>
          <a:off x="0" y="928921"/>
          <a:ext cx="788669" cy="12663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en-US" sz="900" kern="1200"/>
            <a:t>Inform FI's about the assessment and important deadlines</a:t>
          </a:r>
        </a:p>
        <a:p>
          <a:pPr marL="0" lvl="0" indent="0" algn="ctr" defTabSz="400050" rtl="0">
            <a:lnSpc>
              <a:spcPct val="90000"/>
            </a:lnSpc>
            <a:spcBef>
              <a:spcPct val="0"/>
            </a:spcBef>
            <a:spcAft>
              <a:spcPct val="35000"/>
            </a:spcAft>
            <a:buNone/>
          </a:pPr>
          <a:endParaRPr lang="en-US" sz="900" kern="1200"/>
        </a:p>
        <a:p>
          <a:pPr marL="0" lvl="0" indent="0" algn="ctr" defTabSz="400050" rtl="0">
            <a:lnSpc>
              <a:spcPct val="90000"/>
            </a:lnSpc>
            <a:spcBef>
              <a:spcPct val="0"/>
            </a:spcBef>
            <a:spcAft>
              <a:spcPct val="35000"/>
            </a:spcAft>
            <a:buNone/>
          </a:pPr>
          <a:r>
            <a:rPr lang="en-US" sz="900" kern="1200"/>
            <a:t>One month before start</a:t>
          </a:r>
        </a:p>
      </dsp:txBody>
      <dsp:txXfrm>
        <a:off x="23099" y="952020"/>
        <a:ext cx="742471" cy="1220159"/>
      </dsp:txXfrm>
    </dsp:sp>
    <dsp:sp modelId="{F5883728-49EA-45E9-90A2-B90E836EB8B1}">
      <dsp:nvSpPr>
        <dsp:cNvPr id="0" name=""/>
        <dsp:cNvSpPr/>
      </dsp:nvSpPr>
      <dsp:spPr>
        <a:xfrm>
          <a:off x="867537" y="1464304"/>
          <a:ext cx="167198" cy="1955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867537" y="1503422"/>
        <a:ext cx="117039" cy="117354"/>
      </dsp:txXfrm>
    </dsp:sp>
    <dsp:sp modelId="{125E2CA0-65EE-4261-86A7-2BDAE5751EEE}">
      <dsp:nvSpPr>
        <dsp:cNvPr id="0" name=""/>
        <dsp:cNvSpPr/>
      </dsp:nvSpPr>
      <dsp:spPr>
        <a:xfrm>
          <a:off x="1104138" y="928921"/>
          <a:ext cx="788669" cy="12663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Collect and assess policy documents</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Minimum 2 month</a:t>
          </a:r>
        </a:p>
      </dsp:txBody>
      <dsp:txXfrm>
        <a:off x="1127237" y="952020"/>
        <a:ext cx="742471" cy="1220159"/>
      </dsp:txXfrm>
    </dsp:sp>
    <dsp:sp modelId="{43DF687C-5B98-45F6-B45D-361CBB0CD706}">
      <dsp:nvSpPr>
        <dsp:cNvPr id="0" name=""/>
        <dsp:cNvSpPr/>
      </dsp:nvSpPr>
      <dsp:spPr>
        <a:xfrm>
          <a:off x="1971675" y="1464304"/>
          <a:ext cx="167198" cy="1955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971675" y="1503422"/>
        <a:ext cx="117039" cy="117354"/>
      </dsp:txXfrm>
    </dsp:sp>
    <dsp:sp modelId="{DF7B2CD4-67E8-443B-BE18-B65C0B4FBCDF}">
      <dsp:nvSpPr>
        <dsp:cNvPr id="0" name=""/>
        <dsp:cNvSpPr/>
      </dsp:nvSpPr>
      <dsp:spPr>
        <a:xfrm>
          <a:off x="2208276" y="928921"/>
          <a:ext cx="788669" cy="12663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Internal quality review</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One month</a:t>
          </a:r>
        </a:p>
      </dsp:txBody>
      <dsp:txXfrm>
        <a:off x="2231375" y="952020"/>
        <a:ext cx="742471" cy="1220159"/>
      </dsp:txXfrm>
    </dsp:sp>
    <dsp:sp modelId="{C466B241-3D20-4EA3-8F1C-413280DF5CB3}">
      <dsp:nvSpPr>
        <dsp:cNvPr id="0" name=""/>
        <dsp:cNvSpPr/>
      </dsp:nvSpPr>
      <dsp:spPr>
        <a:xfrm>
          <a:off x="3075813" y="1464304"/>
          <a:ext cx="167198" cy="1955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075813" y="1503422"/>
        <a:ext cx="117039" cy="117354"/>
      </dsp:txXfrm>
    </dsp:sp>
    <dsp:sp modelId="{267E8B5C-6E8E-49B5-BA69-7C6C298461CF}">
      <dsp:nvSpPr>
        <dsp:cNvPr id="0" name=""/>
        <dsp:cNvSpPr/>
      </dsp:nvSpPr>
      <dsp:spPr>
        <a:xfrm>
          <a:off x="3312414" y="928921"/>
          <a:ext cx="788669" cy="12663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Finalizing of draft Policy Assessment</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2 weeks</a:t>
          </a:r>
        </a:p>
      </dsp:txBody>
      <dsp:txXfrm>
        <a:off x="3335513" y="952020"/>
        <a:ext cx="742471" cy="1220159"/>
      </dsp:txXfrm>
    </dsp:sp>
    <dsp:sp modelId="{B9C8F957-20DF-4D47-8CC1-94A6F3C19651}">
      <dsp:nvSpPr>
        <dsp:cNvPr id="0" name=""/>
        <dsp:cNvSpPr/>
      </dsp:nvSpPr>
      <dsp:spPr>
        <a:xfrm>
          <a:off x="4179950" y="1464304"/>
          <a:ext cx="167198" cy="1955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179950" y="1503422"/>
        <a:ext cx="117039" cy="117354"/>
      </dsp:txXfrm>
    </dsp:sp>
    <dsp:sp modelId="{1CA24F11-36CB-4F5C-AE72-F079B4D76DE0}">
      <dsp:nvSpPr>
        <dsp:cNvPr id="0" name=""/>
        <dsp:cNvSpPr/>
      </dsp:nvSpPr>
      <dsp:spPr>
        <a:xfrm>
          <a:off x="4416551" y="928921"/>
          <a:ext cx="788669" cy="12663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Feedback from Financial Institutions</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Minimum 3 weeks</a:t>
          </a:r>
        </a:p>
      </dsp:txBody>
      <dsp:txXfrm>
        <a:off x="4439650" y="952020"/>
        <a:ext cx="742471" cy="1220159"/>
      </dsp:txXfrm>
    </dsp:sp>
    <dsp:sp modelId="{E6353AAE-5CC3-464B-91DD-112A4AE216D2}">
      <dsp:nvSpPr>
        <dsp:cNvPr id="0" name=""/>
        <dsp:cNvSpPr/>
      </dsp:nvSpPr>
      <dsp:spPr>
        <a:xfrm>
          <a:off x="5284088" y="1464304"/>
          <a:ext cx="167198" cy="1955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5284088" y="1503422"/>
        <a:ext cx="117039" cy="117354"/>
      </dsp:txXfrm>
    </dsp:sp>
    <dsp:sp modelId="{64097D1A-5720-4AAF-8DE2-95FE56A03B8C}">
      <dsp:nvSpPr>
        <dsp:cNvPr id="0" name=""/>
        <dsp:cNvSpPr/>
      </dsp:nvSpPr>
      <dsp:spPr>
        <a:xfrm>
          <a:off x="5520689" y="928921"/>
          <a:ext cx="788669" cy="12663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Process of feedback and finalizing report</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Minimum one month</a:t>
          </a:r>
        </a:p>
      </dsp:txBody>
      <dsp:txXfrm>
        <a:off x="5543788" y="952020"/>
        <a:ext cx="742471" cy="1220159"/>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59D6-2E57-42DF-92BA-52789C8103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Bram Joanknecht</dc:creator>
  <keywords/>
  <dc:description/>
  <lastModifiedBy>Bram Joanknecht</lastModifiedBy>
  <revision>65</revision>
  <dcterms:created xsi:type="dcterms:W3CDTF">2023-05-03T08:11:00.0000000Z</dcterms:created>
  <dcterms:modified xsi:type="dcterms:W3CDTF">2025-03-04T10:24:05.5949421Z</dcterms:modified>
</coreProperties>
</file>